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D9" w:rsidRDefault="00090FD9" w:rsidP="00090FD9">
      <w:pPr>
        <w:pStyle w:val="Heading1"/>
      </w:pPr>
      <w:r>
        <w:rPr>
          <w:noProof/>
          <w:lang w:val="en-NZ"/>
        </w:rPr>
        <w:drawing>
          <wp:inline distT="0" distB="0" distL="0" distR="0">
            <wp:extent cx="3333750" cy="914400"/>
            <wp:effectExtent l="19050" t="0" r="0" b="0"/>
            <wp:docPr id="1" name="Picture 1" descr="C:\Janes Documents\Administration Brown\NZIA Premises AD 10\NZIA incor wthsy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Janes Documents\Administration Brown\NZIA Premises AD 10\NZIA incor wthsy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347" w:rsidRPr="00C81347" w:rsidRDefault="00C81347" w:rsidP="00AC16FF">
      <w:pPr>
        <w:spacing w:after="0"/>
        <w:rPr>
          <w:rFonts w:ascii="Arial" w:hAnsi="Arial" w:cs="Arial"/>
          <w:b/>
        </w:rPr>
      </w:pPr>
    </w:p>
    <w:p w:rsidR="00C81347" w:rsidRPr="00C81347" w:rsidRDefault="00C81347" w:rsidP="00AC16FF">
      <w:pPr>
        <w:spacing w:after="0"/>
        <w:rPr>
          <w:rFonts w:ascii="Arial" w:hAnsi="Arial" w:cs="Arial"/>
          <w:b/>
          <w:sz w:val="28"/>
          <w:szCs w:val="28"/>
        </w:rPr>
      </w:pPr>
      <w:r w:rsidRPr="00C81347">
        <w:rPr>
          <w:rFonts w:ascii="Arial" w:hAnsi="Arial" w:cs="Arial"/>
          <w:b/>
          <w:sz w:val="28"/>
          <w:szCs w:val="28"/>
        </w:rPr>
        <w:t>Financial Policy</w:t>
      </w:r>
    </w:p>
    <w:p w:rsidR="00C81347" w:rsidRDefault="00C81347" w:rsidP="00AC16FF">
      <w:pPr>
        <w:spacing w:after="0"/>
        <w:rPr>
          <w:rFonts w:ascii="Arial" w:hAnsi="Arial" w:cs="Arial"/>
          <w:b/>
        </w:rPr>
      </w:pPr>
    </w:p>
    <w:p w:rsidR="00C81347" w:rsidRDefault="00C81347" w:rsidP="00AC16FF">
      <w:pPr>
        <w:spacing w:after="0"/>
        <w:rPr>
          <w:rFonts w:ascii="Arial" w:hAnsi="Arial" w:cs="Arial"/>
          <w:b/>
        </w:rPr>
      </w:pPr>
    </w:p>
    <w:p w:rsidR="00C81347" w:rsidRDefault="00C81347" w:rsidP="00AC16F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:rsidR="00C81347" w:rsidRPr="00C81347" w:rsidRDefault="00C81347" w:rsidP="00AC16FF">
      <w:pPr>
        <w:spacing w:after="0"/>
        <w:rPr>
          <w:rFonts w:ascii="Arial" w:hAnsi="Arial" w:cs="Arial"/>
        </w:rPr>
      </w:pPr>
      <w:r w:rsidRPr="00C81347">
        <w:rPr>
          <w:rFonts w:ascii="Arial" w:hAnsi="Arial" w:cs="Arial"/>
        </w:rPr>
        <w:t>This policy establishes a set of guidelines by which the Institute will manage its finances in accordance with current legislative requirements and accounting standards appropriate for a not-for-profit entity of its size and turnover.</w:t>
      </w:r>
    </w:p>
    <w:p w:rsidR="00C81347" w:rsidRDefault="00C81347" w:rsidP="00AC16FF">
      <w:pPr>
        <w:spacing w:after="0"/>
        <w:rPr>
          <w:rFonts w:ascii="Arial" w:hAnsi="Arial" w:cs="Arial"/>
          <w:b/>
        </w:rPr>
      </w:pPr>
    </w:p>
    <w:p w:rsidR="00C81347" w:rsidRDefault="00C81347" w:rsidP="00AC16F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Accounting Standards</w:t>
      </w:r>
    </w:p>
    <w:p w:rsidR="00C81347" w:rsidRPr="00C40909" w:rsidRDefault="00C81347" w:rsidP="00AC16FF">
      <w:pPr>
        <w:spacing w:after="0"/>
        <w:rPr>
          <w:rFonts w:ascii="Arial" w:hAnsi="Arial" w:cs="Arial"/>
        </w:rPr>
      </w:pPr>
      <w:r w:rsidRPr="00C40909">
        <w:rPr>
          <w:rFonts w:ascii="Arial" w:hAnsi="Arial" w:cs="Arial"/>
        </w:rPr>
        <w:t xml:space="preserve">Proper financial records and financial statements shall be maintained in accordance with the </w:t>
      </w:r>
      <w:r w:rsidR="00C40909" w:rsidRPr="00C40909">
        <w:rPr>
          <w:rFonts w:ascii="Arial" w:hAnsi="Arial" w:cs="Arial"/>
        </w:rPr>
        <w:t>current accounting standards adopted by the New Zealand Institute of Chartered Accountants and legislative requirements relevant to the organisation.</w:t>
      </w:r>
    </w:p>
    <w:p w:rsidR="00C40909" w:rsidRDefault="00C40909" w:rsidP="00AC16FF">
      <w:pPr>
        <w:spacing w:after="0"/>
        <w:rPr>
          <w:rFonts w:ascii="Arial" w:hAnsi="Arial" w:cs="Arial"/>
          <w:b/>
        </w:rPr>
      </w:pPr>
    </w:p>
    <w:p w:rsidR="00C40909" w:rsidRDefault="00C40909" w:rsidP="00AC16F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Financial Reporting</w:t>
      </w:r>
    </w:p>
    <w:p w:rsidR="00C40909" w:rsidRDefault="00C40909" w:rsidP="004E60E5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</w:rPr>
      </w:pPr>
      <w:r w:rsidRPr="00C40909">
        <w:rPr>
          <w:rFonts w:ascii="Arial" w:hAnsi="Arial" w:cs="Arial"/>
        </w:rPr>
        <w:t xml:space="preserve">Financial reports shall be provided to the Chief Executive and President on a monthly basis and to the </w:t>
      </w:r>
      <w:r w:rsidR="00A67E29" w:rsidRPr="00C40909">
        <w:rPr>
          <w:rFonts w:ascii="Arial" w:hAnsi="Arial" w:cs="Arial"/>
        </w:rPr>
        <w:t>Council at</w:t>
      </w:r>
      <w:r w:rsidRPr="00C40909">
        <w:rPr>
          <w:rFonts w:ascii="Arial" w:hAnsi="Arial" w:cs="Arial"/>
        </w:rPr>
        <w:t xml:space="preserve"> each Council meeting.</w:t>
      </w:r>
      <w:r>
        <w:rPr>
          <w:rFonts w:ascii="Arial" w:hAnsi="Arial" w:cs="Arial"/>
        </w:rPr>
        <w:t xml:space="preserve">  These will include:</w:t>
      </w:r>
    </w:p>
    <w:p w:rsidR="00A67E29" w:rsidRDefault="00A67E29" w:rsidP="00A67E29">
      <w:pPr>
        <w:pStyle w:val="ListParagraph"/>
        <w:spacing w:after="0"/>
        <w:rPr>
          <w:rFonts w:ascii="Arial" w:hAnsi="Arial" w:cs="Arial"/>
        </w:rPr>
      </w:pPr>
    </w:p>
    <w:p w:rsidR="00C40909" w:rsidRDefault="004E60E5" w:rsidP="00A67E29">
      <w:pPr>
        <w:pStyle w:val="ListParagraph"/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C40909">
        <w:rPr>
          <w:rFonts w:ascii="Arial" w:hAnsi="Arial" w:cs="Arial"/>
        </w:rPr>
        <w:t>Summary Statement of Financial Performance (Profit &amp; Loss)</w:t>
      </w:r>
      <w:r w:rsidR="00A67E29">
        <w:rPr>
          <w:rFonts w:ascii="Arial" w:hAnsi="Arial" w:cs="Arial"/>
        </w:rPr>
        <w:t xml:space="preserve"> and</w:t>
      </w:r>
      <w:r w:rsidR="00C40909">
        <w:rPr>
          <w:rFonts w:ascii="Arial" w:hAnsi="Arial" w:cs="Arial"/>
        </w:rPr>
        <w:t xml:space="preserve"> detailed Statement of Financial Performance for specific divisions or activities</w:t>
      </w:r>
    </w:p>
    <w:p w:rsidR="00C40909" w:rsidRDefault="004E60E5" w:rsidP="00A67E29">
      <w:pPr>
        <w:pStyle w:val="ListParagraph"/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C40909">
        <w:rPr>
          <w:rFonts w:ascii="Arial" w:hAnsi="Arial" w:cs="Arial"/>
        </w:rPr>
        <w:t>Balance Sheet</w:t>
      </w:r>
    </w:p>
    <w:p w:rsidR="00C40909" w:rsidRDefault="004E60E5" w:rsidP="00A67E29">
      <w:pPr>
        <w:pStyle w:val="ListParagraph"/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C40909">
        <w:rPr>
          <w:rFonts w:ascii="Arial" w:hAnsi="Arial" w:cs="Arial"/>
        </w:rPr>
        <w:t>External Listings of all bank account balances and term deposits</w:t>
      </w:r>
    </w:p>
    <w:p w:rsidR="00C40909" w:rsidRDefault="004E60E5" w:rsidP="00A67E29">
      <w:pPr>
        <w:pStyle w:val="ListParagraph"/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C40909">
        <w:rPr>
          <w:rFonts w:ascii="Arial" w:hAnsi="Arial" w:cs="Arial"/>
        </w:rPr>
        <w:t>Report from the Accountant on the month’s and year to date’s financial performance</w:t>
      </w:r>
    </w:p>
    <w:p w:rsidR="001E6864" w:rsidRPr="00C40909" w:rsidRDefault="004E60E5" w:rsidP="00A67E29">
      <w:pPr>
        <w:pStyle w:val="ListParagraph"/>
        <w:spacing w:after="0"/>
        <w:ind w:left="709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1E6864">
        <w:rPr>
          <w:rFonts w:ascii="Arial" w:hAnsi="Arial" w:cs="Arial"/>
        </w:rPr>
        <w:t>Draft Budget at Budget Setting Council Meeting</w:t>
      </w:r>
    </w:p>
    <w:p w:rsidR="00C40909" w:rsidRPr="00C40909" w:rsidRDefault="00C40909" w:rsidP="00C40909">
      <w:pPr>
        <w:pStyle w:val="ListParagraph"/>
        <w:spacing w:after="0"/>
        <w:rPr>
          <w:rFonts w:ascii="Arial" w:hAnsi="Arial" w:cs="Arial"/>
        </w:rPr>
      </w:pPr>
    </w:p>
    <w:p w:rsidR="001E6864" w:rsidRDefault="00C40909" w:rsidP="004E60E5">
      <w:pPr>
        <w:pStyle w:val="ListParagraph"/>
        <w:numPr>
          <w:ilvl w:val="0"/>
          <w:numId w:val="3"/>
        </w:numPr>
        <w:spacing w:after="0"/>
        <w:ind w:left="0" w:firstLine="0"/>
        <w:rPr>
          <w:rFonts w:ascii="Arial" w:hAnsi="Arial" w:cs="Arial"/>
        </w:rPr>
      </w:pPr>
      <w:r w:rsidRPr="00C40909">
        <w:rPr>
          <w:rFonts w:ascii="Arial" w:hAnsi="Arial" w:cs="Arial"/>
        </w:rPr>
        <w:t>Statutory financial statements will be published in the Annual Report each year in accordance with legislative requirements and accounting standards adopted by the Institute of Chartered Accountants.</w:t>
      </w:r>
      <w:r w:rsidR="001E6864">
        <w:rPr>
          <w:rFonts w:ascii="Arial" w:hAnsi="Arial" w:cs="Arial"/>
        </w:rPr>
        <w:t xml:space="preserve">  These financial statements are to be audited externally if required either by Council or legislation</w:t>
      </w:r>
    </w:p>
    <w:p w:rsidR="00C40909" w:rsidRDefault="001E6864" w:rsidP="001E6864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.</w:t>
      </w:r>
    </w:p>
    <w:p w:rsidR="001E6864" w:rsidRPr="00BB3369" w:rsidRDefault="001E6864" w:rsidP="001E6864">
      <w:pPr>
        <w:spacing w:after="0"/>
        <w:rPr>
          <w:rFonts w:ascii="Arial" w:hAnsi="Arial" w:cs="Arial"/>
          <w:b/>
        </w:rPr>
      </w:pPr>
      <w:r w:rsidRPr="00BB3369">
        <w:rPr>
          <w:rFonts w:ascii="Arial" w:hAnsi="Arial" w:cs="Arial"/>
          <w:b/>
        </w:rPr>
        <w:t>Internal Controls</w:t>
      </w:r>
    </w:p>
    <w:p w:rsidR="001E6864" w:rsidRDefault="00BB3369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Recognised good </w:t>
      </w:r>
      <w:r w:rsidR="00343F93">
        <w:rPr>
          <w:rFonts w:ascii="Arial" w:hAnsi="Arial" w:cs="Arial"/>
        </w:rPr>
        <w:t>i</w:t>
      </w:r>
      <w:r w:rsidR="001E6864">
        <w:rPr>
          <w:rFonts w:ascii="Arial" w:hAnsi="Arial" w:cs="Arial"/>
        </w:rPr>
        <w:t>nternal cont</w:t>
      </w:r>
      <w:r>
        <w:rPr>
          <w:rFonts w:ascii="Arial" w:hAnsi="Arial" w:cs="Arial"/>
        </w:rPr>
        <w:t>rols must be in place to ensure the good custodial care and administration of the Institute’s assets and to lessen the risk of misuse of Institute funds.  These include:</w:t>
      </w:r>
    </w:p>
    <w:p w:rsidR="00A67E29" w:rsidRDefault="001E6864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E6864" w:rsidRPr="00BB3369" w:rsidRDefault="001E6864" w:rsidP="001E6864">
      <w:pPr>
        <w:spacing w:after="0"/>
        <w:rPr>
          <w:rFonts w:ascii="Arial" w:hAnsi="Arial" w:cs="Arial"/>
          <w:b/>
        </w:rPr>
      </w:pPr>
      <w:r w:rsidRPr="00BB3369">
        <w:rPr>
          <w:rFonts w:ascii="Arial" w:hAnsi="Arial" w:cs="Arial"/>
          <w:b/>
        </w:rPr>
        <w:t>Segregation of Duties</w:t>
      </w:r>
    </w:p>
    <w:p w:rsidR="00D3030A" w:rsidRDefault="001E6864" w:rsidP="00A67E2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Segregation of Duties will lessen the risk of mishandling of the Institute’s finances </w:t>
      </w:r>
      <w:r w:rsidR="00A67E29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fraud.   </w:t>
      </w:r>
      <w:r w:rsidR="00D3030A">
        <w:rPr>
          <w:rFonts w:ascii="Arial" w:hAnsi="Arial" w:cs="Arial"/>
        </w:rPr>
        <w:t xml:space="preserve">This means that the authoriser of an invoice cannot also be able to pay that invoice. </w:t>
      </w:r>
      <w:r>
        <w:rPr>
          <w:rFonts w:ascii="Arial" w:hAnsi="Arial" w:cs="Arial"/>
        </w:rPr>
        <w:t>To this end, two signatories are required on a</w:t>
      </w:r>
      <w:r w:rsidR="00BB3369">
        <w:rPr>
          <w:rFonts w:ascii="Arial" w:hAnsi="Arial" w:cs="Arial"/>
        </w:rPr>
        <w:t>ll banking transactions</w:t>
      </w:r>
      <w:r w:rsidR="00A67E29">
        <w:rPr>
          <w:rFonts w:ascii="Arial" w:hAnsi="Arial" w:cs="Arial"/>
        </w:rPr>
        <w:t xml:space="preserve"> </w:t>
      </w:r>
      <w:r w:rsidR="00BB3369">
        <w:rPr>
          <w:rFonts w:ascii="Arial" w:hAnsi="Arial" w:cs="Arial"/>
        </w:rPr>
        <w:t>initiated by the Institute e.g. electronic payment schedules</w:t>
      </w:r>
      <w:r w:rsidR="00D3030A">
        <w:rPr>
          <w:rFonts w:ascii="Arial" w:hAnsi="Arial" w:cs="Arial"/>
        </w:rPr>
        <w:t xml:space="preserve"> and instructions regarding term deposits.  Also the administrator of the electronic banking interface</w:t>
      </w:r>
      <w:r w:rsidR="00A67E29">
        <w:rPr>
          <w:rFonts w:ascii="Arial" w:hAnsi="Arial" w:cs="Arial"/>
        </w:rPr>
        <w:t xml:space="preserve"> </w:t>
      </w:r>
      <w:r w:rsidR="00D3030A">
        <w:rPr>
          <w:rFonts w:ascii="Arial" w:hAnsi="Arial" w:cs="Arial"/>
        </w:rPr>
        <w:t>(</w:t>
      </w:r>
      <w:proofErr w:type="spellStart"/>
      <w:r w:rsidR="00D3030A">
        <w:rPr>
          <w:rFonts w:ascii="Arial" w:hAnsi="Arial" w:cs="Arial"/>
        </w:rPr>
        <w:t>Deskbank</w:t>
      </w:r>
      <w:proofErr w:type="spellEnd"/>
      <w:r w:rsidR="00D3030A">
        <w:rPr>
          <w:rFonts w:ascii="Arial" w:hAnsi="Arial" w:cs="Arial"/>
        </w:rPr>
        <w:t xml:space="preserve">) is the Accountant but she/he cannot be a Level 2 Authoriser in this </w:t>
      </w:r>
      <w:r w:rsidR="00A67E29">
        <w:rPr>
          <w:rFonts w:ascii="Arial" w:hAnsi="Arial" w:cs="Arial"/>
        </w:rPr>
        <w:t>s</w:t>
      </w:r>
      <w:r w:rsidR="00D3030A">
        <w:rPr>
          <w:rFonts w:ascii="Arial" w:hAnsi="Arial" w:cs="Arial"/>
        </w:rPr>
        <w:t xml:space="preserve">ystem.  </w:t>
      </w:r>
      <w:r w:rsidR="00B809CB">
        <w:rPr>
          <w:rFonts w:ascii="Arial" w:hAnsi="Arial" w:cs="Arial"/>
        </w:rPr>
        <w:t xml:space="preserve">It has to be one of the other two cheque </w:t>
      </w:r>
      <w:r w:rsidR="00343F93">
        <w:rPr>
          <w:rFonts w:ascii="Arial" w:hAnsi="Arial" w:cs="Arial"/>
        </w:rPr>
        <w:t>signatories</w:t>
      </w:r>
      <w:r w:rsidR="00B809CB">
        <w:rPr>
          <w:rFonts w:ascii="Arial" w:hAnsi="Arial" w:cs="Arial"/>
        </w:rPr>
        <w:t>.</w:t>
      </w:r>
    </w:p>
    <w:p w:rsidR="00D3030A" w:rsidRDefault="00D3030A" w:rsidP="00BB3369">
      <w:pPr>
        <w:spacing w:after="0"/>
        <w:ind w:firstLine="720"/>
        <w:rPr>
          <w:rFonts w:ascii="Arial" w:hAnsi="Arial" w:cs="Arial"/>
        </w:rPr>
      </w:pPr>
    </w:p>
    <w:p w:rsidR="001E6864" w:rsidRPr="00BB3369" w:rsidRDefault="00BB3369" w:rsidP="001E6864">
      <w:pPr>
        <w:spacing w:after="0"/>
        <w:rPr>
          <w:rFonts w:ascii="Arial" w:hAnsi="Arial" w:cs="Arial"/>
          <w:b/>
        </w:rPr>
      </w:pPr>
      <w:r w:rsidRPr="00BB3369">
        <w:rPr>
          <w:rFonts w:ascii="Arial" w:hAnsi="Arial" w:cs="Arial"/>
          <w:b/>
        </w:rPr>
        <w:t xml:space="preserve">Authorisation of Invoices </w:t>
      </w:r>
      <w:r w:rsidR="00343F93" w:rsidRPr="00BB3369">
        <w:rPr>
          <w:rFonts w:ascii="Arial" w:hAnsi="Arial" w:cs="Arial"/>
          <w:b/>
        </w:rPr>
        <w:t>by</w:t>
      </w:r>
      <w:r w:rsidRPr="00BB3369">
        <w:rPr>
          <w:rFonts w:ascii="Arial" w:hAnsi="Arial" w:cs="Arial"/>
          <w:b/>
        </w:rPr>
        <w:t xml:space="preserve"> Person </w:t>
      </w:r>
      <w:r w:rsidR="00343F93" w:rsidRPr="00BB3369">
        <w:rPr>
          <w:rFonts w:ascii="Arial" w:hAnsi="Arial" w:cs="Arial"/>
          <w:b/>
        </w:rPr>
        <w:t>with</w:t>
      </w:r>
      <w:r w:rsidRPr="00BB3369">
        <w:rPr>
          <w:rFonts w:ascii="Arial" w:hAnsi="Arial" w:cs="Arial"/>
          <w:b/>
        </w:rPr>
        <w:t xml:space="preserve"> Delegated Authority</w:t>
      </w:r>
    </w:p>
    <w:p w:rsidR="00D3030A" w:rsidRDefault="00BB3369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Chief Executive </w:t>
      </w:r>
      <w:r w:rsidR="0053343F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to sign off in</w:t>
      </w:r>
      <w:r w:rsidR="00A67E29">
        <w:rPr>
          <w:rFonts w:ascii="Arial" w:hAnsi="Arial" w:cs="Arial"/>
        </w:rPr>
        <w:t xml:space="preserve">voices under his/her delegated </w:t>
      </w:r>
      <w:r>
        <w:rPr>
          <w:rFonts w:ascii="Arial" w:hAnsi="Arial" w:cs="Arial"/>
        </w:rPr>
        <w:t>authority as set by Council.</w:t>
      </w:r>
      <w:r w:rsidR="00D3030A">
        <w:rPr>
          <w:rFonts w:ascii="Arial" w:hAnsi="Arial" w:cs="Arial"/>
        </w:rPr>
        <w:t xml:space="preserve">  Expense claims by the CEO are to be signed off by</w:t>
      </w:r>
      <w:r w:rsidR="00A67E29">
        <w:rPr>
          <w:rFonts w:ascii="Arial" w:hAnsi="Arial" w:cs="Arial"/>
        </w:rPr>
        <w:t xml:space="preserve"> </w:t>
      </w:r>
      <w:r w:rsidR="00D3030A">
        <w:rPr>
          <w:rFonts w:ascii="Arial" w:hAnsi="Arial" w:cs="Arial"/>
        </w:rPr>
        <w:t xml:space="preserve">the President and vice versa. </w:t>
      </w:r>
    </w:p>
    <w:p w:rsidR="00343F93" w:rsidRDefault="00D3030A" w:rsidP="001E6864">
      <w:pPr>
        <w:spacing w:after="0"/>
        <w:rPr>
          <w:rFonts w:ascii="Arial" w:hAnsi="Arial" w:cs="Arial"/>
          <w:b/>
        </w:rPr>
      </w:pPr>
      <w:r w:rsidRPr="00D3030A">
        <w:rPr>
          <w:rFonts w:ascii="Arial" w:hAnsi="Arial" w:cs="Arial"/>
          <w:b/>
        </w:rPr>
        <w:tab/>
      </w:r>
    </w:p>
    <w:p w:rsidR="00D3030A" w:rsidRPr="00D3030A" w:rsidRDefault="00D3030A" w:rsidP="00A67E29">
      <w:pPr>
        <w:spacing w:after="0"/>
        <w:rPr>
          <w:rFonts w:ascii="Arial" w:hAnsi="Arial" w:cs="Arial"/>
          <w:b/>
        </w:rPr>
      </w:pPr>
      <w:r w:rsidRPr="00D3030A">
        <w:rPr>
          <w:rFonts w:ascii="Arial" w:hAnsi="Arial" w:cs="Arial"/>
          <w:b/>
        </w:rPr>
        <w:t xml:space="preserve">Physical Approval of All Electronic Schedules </w:t>
      </w:r>
      <w:r w:rsidR="00343F93" w:rsidRPr="00D3030A">
        <w:rPr>
          <w:rFonts w:ascii="Arial" w:hAnsi="Arial" w:cs="Arial"/>
          <w:b/>
        </w:rPr>
        <w:t>by</w:t>
      </w:r>
      <w:r w:rsidRPr="00D3030A">
        <w:rPr>
          <w:rFonts w:ascii="Arial" w:hAnsi="Arial" w:cs="Arial"/>
          <w:b/>
        </w:rPr>
        <w:t xml:space="preserve"> </w:t>
      </w:r>
      <w:r w:rsidR="00343F93" w:rsidRPr="00D3030A">
        <w:rPr>
          <w:rFonts w:ascii="Arial" w:hAnsi="Arial" w:cs="Arial"/>
          <w:b/>
        </w:rPr>
        <w:t>the</w:t>
      </w:r>
      <w:r w:rsidRPr="00D3030A">
        <w:rPr>
          <w:rFonts w:ascii="Arial" w:hAnsi="Arial" w:cs="Arial"/>
          <w:b/>
        </w:rPr>
        <w:t xml:space="preserve"> Chief Executive</w:t>
      </w:r>
    </w:p>
    <w:p w:rsidR="00D3030A" w:rsidRDefault="00A67E29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It is a requirement that </w:t>
      </w:r>
      <w:r w:rsidR="00D3030A">
        <w:rPr>
          <w:rFonts w:ascii="Arial" w:hAnsi="Arial" w:cs="Arial"/>
        </w:rPr>
        <w:t>the Chief</w:t>
      </w:r>
      <w:r>
        <w:rPr>
          <w:rFonts w:ascii="Arial" w:hAnsi="Arial" w:cs="Arial"/>
        </w:rPr>
        <w:t xml:space="preserve"> </w:t>
      </w:r>
      <w:r w:rsidR="00D3030A">
        <w:rPr>
          <w:rFonts w:ascii="Arial" w:hAnsi="Arial" w:cs="Arial"/>
        </w:rPr>
        <w:t>Executive physically signs off print-outs of all transmissions made by the</w:t>
      </w:r>
      <w:r>
        <w:rPr>
          <w:rFonts w:ascii="Arial" w:hAnsi="Arial" w:cs="Arial"/>
        </w:rPr>
        <w:t xml:space="preserve"> </w:t>
      </w:r>
      <w:r w:rsidR="00D3030A">
        <w:rPr>
          <w:rFonts w:ascii="Arial" w:hAnsi="Arial" w:cs="Arial"/>
        </w:rPr>
        <w:t>Accountant.  These are checked by the external auditors every year.</w:t>
      </w:r>
    </w:p>
    <w:p w:rsidR="00343F93" w:rsidRDefault="00B809CB" w:rsidP="001E6864">
      <w:pPr>
        <w:spacing w:after="0"/>
        <w:rPr>
          <w:rFonts w:ascii="Arial" w:hAnsi="Arial" w:cs="Arial"/>
          <w:b/>
        </w:rPr>
      </w:pPr>
      <w:r w:rsidRPr="00B809CB">
        <w:rPr>
          <w:rFonts w:ascii="Arial" w:hAnsi="Arial" w:cs="Arial"/>
          <w:b/>
        </w:rPr>
        <w:tab/>
      </w:r>
    </w:p>
    <w:p w:rsidR="00B809CB" w:rsidRPr="00B809CB" w:rsidRDefault="00B809CB" w:rsidP="00A67E29">
      <w:pPr>
        <w:spacing w:after="0"/>
        <w:rPr>
          <w:rFonts w:ascii="Arial" w:hAnsi="Arial" w:cs="Arial"/>
          <w:b/>
        </w:rPr>
      </w:pPr>
      <w:r w:rsidRPr="00B809CB">
        <w:rPr>
          <w:rFonts w:ascii="Arial" w:hAnsi="Arial" w:cs="Arial"/>
          <w:b/>
        </w:rPr>
        <w:t>Regular Bankings of Cheques &amp; Cash as part of good cashflow practices</w:t>
      </w:r>
    </w:p>
    <w:p w:rsidR="00B809CB" w:rsidRDefault="00B809CB" w:rsidP="001E6864">
      <w:pPr>
        <w:spacing w:after="0"/>
        <w:rPr>
          <w:rFonts w:ascii="Arial" w:hAnsi="Arial" w:cs="Arial"/>
        </w:rPr>
      </w:pPr>
    </w:p>
    <w:p w:rsidR="00B809CB" w:rsidRPr="00B809CB" w:rsidRDefault="00B809CB" w:rsidP="001E6864">
      <w:pPr>
        <w:spacing w:after="0"/>
        <w:rPr>
          <w:rFonts w:ascii="Arial" w:hAnsi="Arial" w:cs="Arial"/>
          <w:b/>
        </w:rPr>
      </w:pPr>
      <w:r w:rsidRPr="00B809CB">
        <w:rPr>
          <w:rFonts w:ascii="Arial" w:hAnsi="Arial" w:cs="Arial"/>
          <w:b/>
        </w:rPr>
        <w:t xml:space="preserve">Internal Controls </w:t>
      </w:r>
      <w:r w:rsidR="00343F93" w:rsidRPr="00B809CB">
        <w:rPr>
          <w:rFonts w:ascii="Arial" w:hAnsi="Arial" w:cs="Arial"/>
          <w:b/>
        </w:rPr>
        <w:t>over</w:t>
      </w:r>
      <w:r w:rsidRPr="00B809CB">
        <w:rPr>
          <w:rFonts w:ascii="Arial" w:hAnsi="Arial" w:cs="Arial"/>
          <w:b/>
        </w:rPr>
        <w:t xml:space="preserve"> Branches</w:t>
      </w:r>
      <w:r w:rsidR="00A67E29">
        <w:rPr>
          <w:rFonts w:ascii="Arial" w:hAnsi="Arial" w:cs="Arial"/>
          <w:b/>
        </w:rPr>
        <w:t>:</w:t>
      </w:r>
    </w:p>
    <w:p w:rsidR="00B809CB" w:rsidRDefault="004B5D04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B809CB">
        <w:rPr>
          <w:rFonts w:ascii="Arial" w:hAnsi="Arial" w:cs="Arial"/>
        </w:rPr>
        <w:t>Branches are not to have their own bank accounts</w:t>
      </w:r>
    </w:p>
    <w:p w:rsidR="00B809CB" w:rsidRDefault="004B5D04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B809CB">
        <w:rPr>
          <w:rFonts w:ascii="Arial" w:hAnsi="Arial" w:cs="Arial"/>
        </w:rPr>
        <w:t>Branch Treasurers are to forward invoices for payment to the Accountant</w:t>
      </w:r>
    </w:p>
    <w:p w:rsidR="00B809CB" w:rsidRDefault="004B5D04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B809CB">
        <w:rPr>
          <w:rFonts w:ascii="Arial" w:hAnsi="Arial" w:cs="Arial"/>
        </w:rPr>
        <w:t>Branch Treasurers are to forward details of invoices to be created to the</w:t>
      </w:r>
      <w:r w:rsidR="00A67E29">
        <w:rPr>
          <w:rFonts w:ascii="Arial" w:hAnsi="Arial" w:cs="Arial"/>
        </w:rPr>
        <w:t xml:space="preserve"> </w:t>
      </w:r>
      <w:r w:rsidR="00B809CB">
        <w:rPr>
          <w:rFonts w:ascii="Arial" w:hAnsi="Arial" w:cs="Arial"/>
        </w:rPr>
        <w:t>Accountant so they can be created and tracked in the central Debtors System.</w:t>
      </w:r>
    </w:p>
    <w:p w:rsidR="00B809CB" w:rsidRPr="004B5D04" w:rsidRDefault="004B5D04" w:rsidP="001E6864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•</w:t>
      </w:r>
      <w:r w:rsidR="00B809CB">
        <w:rPr>
          <w:rFonts w:ascii="Arial" w:hAnsi="Arial" w:cs="Arial"/>
        </w:rPr>
        <w:t xml:space="preserve">Requests for use of </w:t>
      </w:r>
      <w:r w:rsidR="009538B5">
        <w:rPr>
          <w:rFonts w:ascii="Arial" w:hAnsi="Arial" w:cs="Arial"/>
        </w:rPr>
        <w:t xml:space="preserve">for funds outside of these budgets are to be submitted </w:t>
      </w:r>
      <w:r w:rsidR="00B809CB">
        <w:rPr>
          <w:rFonts w:ascii="Arial" w:hAnsi="Arial" w:cs="Arial"/>
        </w:rPr>
        <w:t>to Council</w:t>
      </w:r>
      <w:r w:rsidR="009538B5">
        <w:rPr>
          <w:rFonts w:ascii="Arial" w:hAnsi="Arial" w:cs="Arial"/>
        </w:rPr>
        <w:t>.</w:t>
      </w:r>
      <w:r w:rsidR="00A67E29">
        <w:rPr>
          <w:rFonts w:ascii="Arial" w:hAnsi="Arial" w:cs="Arial"/>
        </w:rPr>
        <w:t xml:space="preserve"> </w:t>
      </w:r>
    </w:p>
    <w:p w:rsidR="00B809CB" w:rsidRDefault="00B809CB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3030A" w:rsidRPr="00B809CB" w:rsidRDefault="00B809CB" w:rsidP="001E6864">
      <w:pPr>
        <w:spacing w:after="0"/>
        <w:rPr>
          <w:rFonts w:ascii="Arial" w:hAnsi="Arial" w:cs="Arial"/>
          <w:b/>
        </w:rPr>
      </w:pPr>
      <w:r w:rsidRPr="00B809CB">
        <w:rPr>
          <w:rFonts w:ascii="Arial" w:hAnsi="Arial" w:cs="Arial"/>
          <w:b/>
        </w:rPr>
        <w:t>Fixed Assets</w:t>
      </w:r>
    </w:p>
    <w:p w:rsidR="00B809CB" w:rsidRDefault="004B5D04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B809CB">
        <w:rPr>
          <w:rFonts w:ascii="Arial" w:hAnsi="Arial" w:cs="Arial"/>
        </w:rPr>
        <w:t>Fixed Assets are recorded on a fixed assets schedule and depreciated in</w:t>
      </w:r>
      <w:r>
        <w:rPr>
          <w:rFonts w:ascii="Arial" w:hAnsi="Arial" w:cs="Arial"/>
        </w:rPr>
        <w:t xml:space="preserve"> </w:t>
      </w:r>
      <w:r w:rsidR="00B809CB">
        <w:rPr>
          <w:rFonts w:ascii="Arial" w:hAnsi="Arial" w:cs="Arial"/>
        </w:rPr>
        <w:t>accordance with current appropriate accounting standards</w:t>
      </w:r>
    </w:p>
    <w:p w:rsidR="00B809CB" w:rsidRDefault="004B5D04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B809CB">
        <w:rPr>
          <w:rFonts w:ascii="Arial" w:hAnsi="Arial" w:cs="Arial"/>
        </w:rPr>
        <w:t>Assets over $1,000 are capitalised.</w:t>
      </w:r>
    </w:p>
    <w:p w:rsidR="009C4114" w:rsidRDefault="004B5D04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</w:t>
      </w:r>
      <w:r w:rsidR="009C4114">
        <w:rPr>
          <w:rFonts w:ascii="Arial" w:hAnsi="Arial" w:cs="Arial"/>
        </w:rPr>
        <w:t>Assets of a minimal value are written off and expensed to the Profit &amp; Loss</w:t>
      </w:r>
      <w:r>
        <w:rPr>
          <w:rFonts w:ascii="Arial" w:hAnsi="Arial" w:cs="Arial"/>
        </w:rPr>
        <w:t xml:space="preserve"> </w:t>
      </w:r>
      <w:r w:rsidR="009C4114">
        <w:rPr>
          <w:rFonts w:ascii="Arial" w:hAnsi="Arial" w:cs="Arial"/>
        </w:rPr>
        <w:t>Account where their net realisable value is nil.</w:t>
      </w:r>
    </w:p>
    <w:p w:rsidR="004946BD" w:rsidRDefault="004B5D04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9C4114">
        <w:rPr>
          <w:rFonts w:ascii="Arial" w:hAnsi="Arial" w:cs="Arial"/>
        </w:rPr>
        <w:t>Capital expenditure greater than $5,000 shall be</w:t>
      </w:r>
      <w:r w:rsidR="004946BD">
        <w:rPr>
          <w:rFonts w:ascii="Arial" w:hAnsi="Arial" w:cs="Arial"/>
        </w:rPr>
        <w:t xml:space="preserve"> </w:t>
      </w:r>
      <w:r w:rsidR="00343F93">
        <w:rPr>
          <w:rFonts w:ascii="Arial" w:hAnsi="Arial" w:cs="Arial"/>
        </w:rPr>
        <w:t>preceded</w:t>
      </w:r>
      <w:r w:rsidR="004946BD">
        <w:rPr>
          <w:rFonts w:ascii="Arial" w:hAnsi="Arial" w:cs="Arial"/>
        </w:rPr>
        <w:t xml:space="preserve"> by a tendering</w:t>
      </w:r>
      <w:r>
        <w:rPr>
          <w:rFonts w:ascii="Arial" w:hAnsi="Arial" w:cs="Arial"/>
        </w:rPr>
        <w:t xml:space="preserve"> </w:t>
      </w:r>
      <w:r w:rsidR="002025A8">
        <w:rPr>
          <w:rFonts w:ascii="Arial" w:hAnsi="Arial" w:cs="Arial"/>
        </w:rPr>
        <w:t>p</w:t>
      </w:r>
      <w:r w:rsidR="004946BD">
        <w:rPr>
          <w:rFonts w:ascii="Arial" w:hAnsi="Arial" w:cs="Arial"/>
        </w:rPr>
        <w:t>rocess with a minimum of three quotes, unless the work or purchase is</w:t>
      </w:r>
      <w:r>
        <w:rPr>
          <w:rFonts w:ascii="Arial" w:hAnsi="Arial" w:cs="Arial"/>
        </w:rPr>
        <w:t xml:space="preserve"> </w:t>
      </w:r>
      <w:r w:rsidR="004946BD">
        <w:rPr>
          <w:rFonts w:ascii="Arial" w:hAnsi="Arial" w:cs="Arial"/>
        </w:rPr>
        <w:t>from a “preferred supplier”.</w:t>
      </w:r>
    </w:p>
    <w:p w:rsidR="004946BD" w:rsidRDefault="004946BD" w:rsidP="001E6864">
      <w:pPr>
        <w:spacing w:after="0"/>
        <w:rPr>
          <w:rFonts w:ascii="Arial" w:hAnsi="Arial" w:cs="Arial"/>
        </w:rPr>
      </w:pPr>
    </w:p>
    <w:p w:rsidR="004946BD" w:rsidRPr="00887903" w:rsidRDefault="004946BD" w:rsidP="001E6864">
      <w:pPr>
        <w:spacing w:after="0"/>
        <w:rPr>
          <w:rFonts w:ascii="Arial" w:hAnsi="Arial" w:cs="Arial"/>
          <w:b/>
        </w:rPr>
      </w:pPr>
      <w:r w:rsidRPr="00887903">
        <w:rPr>
          <w:rFonts w:ascii="Arial" w:hAnsi="Arial" w:cs="Arial"/>
          <w:b/>
        </w:rPr>
        <w:t>Preferred Suppliers</w:t>
      </w:r>
    </w:p>
    <w:p w:rsidR="004946BD" w:rsidRDefault="004946BD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Management shall keep a record of preferred suppliers, these being suppliers</w:t>
      </w:r>
      <w:r w:rsidR="004B5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goods and services that the Institute has an ongoing relationship with, based</w:t>
      </w:r>
      <w:r w:rsidR="004B5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 good quality provision and an understanding of the Institute’s business.</w:t>
      </w:r>
      <w:r w:rsidR="0093305B">
        <w:rPr>
          <w:rFonts w:ascii="Arial" w:hAnsi="Arial" w:cs="Arial"/>
        </w:rPr>
        <w:t xml:space="preserve"> Such arrangements shall be reviewed from time to time.</w:t>
      </w:r>
    </w:p>
    <w:p w:rsidR="00086254" w:rsidRDefault="00086254" w:rsidP="001E6864">
      <w:pPr>
        <w:spacing w:after="0"/>
        <w:rPr>
          <w:rFonts w:ascii="Arial" w:hAnsi="Arial" w:cs="Arial"/>
        </w:rPr>
      </w:pPr>
    </w:p>
    <w:p w:rsidR="00086254" w:rsidRPr="00086254" w:rsidRDefault="00086254" w:rsidP="001E6864">
      <w:pPr>
        <w:spacing w:after="0"/>
        <w:rPr>
          <w:rFonts w:ascii="Arial" w:hAnsi="Arial" w:cs="Arial"/>
          <w:b/>
        </w:rPr>
      </w:pPr>
      <w:r w:rsidRPr="00086254">
        <w:rPr>
          <w:rFonts w:ascii="Arial" w:hAnsi="Arial" w:cs="Arial"/>
          <w:b/>
        </w:rPr>
        <w:t>Budget</w:t>
      </w:r>
    </w:p>
    <w:p w:rsidR="00086254" w:rsidRDefault="00086254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343F93">
        <w:rPr>
          <w:rFonts w:ascii="Arial" w:hAnsi="Arial" w:cs="Arial"/>
        </w:rPr>
        <w:t xml:space="preserve">draft </w:t>
      </w:r>
      <w:r>
        <w:rPr>
          <w:rFonts w:ascii="Arial" w:hAnsi="Arial" w:cs="Arial"/>
        </w:rPr>
        <w:t>annual budget is to be prepared by the Chief Executive and presented to</w:t>
      </w:r>
      <w:r w:rsidR="004B5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Council.  Subject to amendment, Council shall then recommend the</w:t>
      </w:r>
      <w:r w:rsidR="004B5D04">
        <w:rPr>
          <w:rFonts w:ascii="Arial" w:hAnsi="Arial" w:cs="Arial"/>
        </w:rPr>
        <w:t xml:space="preserve"> </w:t>
      </w:r>
      <w:r w:rsidR="00343F93">
        <w:rPr>
          <w:rFonts w:ascii="Arial" w:hAnsi="Arial" w:cs="Arial"/>
        </w:rPr>
        <w:t>b</w:t>
      </w:r>
      <w:r>
        <w:rPr>
          <w:rFonts w:ascii="Arial" w:hAnsi="Arial" w:cs="Arial"/>
        </w:rPr>
        <w:t>udget’s communication to the membership</w:t>
      </w:r>
      <w:r w:rsidR="004B5D04">
        <w:rPr>
          <w:rFonts w:ascii="Arial" w:hAnsi="Arial" w:cs="Arial"/>
        </w:rPr>
        <w:t xml:space="preserve"> and any consequent amendment and adoption</w:t>
      </w:r>
      <w:r>
        <w:rPr>
          <w:rFonts w:ascii="Arial" w:hAnsi="Arial" w:cs="Arial"/>
        </w:rPr>
        <w:t>.</w:t>
      </w:r>
    </w:p>
    <w:p w:rsidR="00D3030A" w:rsidRDefault="00D3030A" w:rsidP="001E6864">
      <w:pPr>
        <w:spacing w:after="0"/>
        <w:rPr>
          <w:rFonts w:ascii="Arial" w:hAnsi="Arial" w:cs="Arial"/>
        </w:rPr>
      </w:pPr>
    </w:p>
    <w:p w:rsidR="00086254" w:rsidRPr="00086254" w:rsidRDefault="00086254" w:rsidP="001E6864">
      <w:pPr>
        <w:spacing w:after="0"/>
        <w:rPr>
          <w:rFonts w:ascii="Arial" w:hAnsi="Arial" w:cs="Arial"/>
          <w:b/>
        </w:rPr>
      </w:pPr>
      <w:r w:rsidRPr="00086254">
        <w:rPr>
          <w:rFonts w:ascii="Arial" w:hAnsi="Arial" w:cs="Arial"/>
          <w:b/>
        </w:rPr>
        <w:t>Cashflow Management</w:t>
      </w:r>
    </w:p>
    <w:p w:rsidR="008D1CBF" w:rsidRDefault="00086254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Bank accounts are to be reconciled and all transactions entered into the</w:t>
      </w:r>
      <w:r w:rsidR="004B5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relevant accounting packages on a daily basis.  </w:t>
      </w:r>
      <w:r w:rsidR="008D1CBF">
        <w:rPr>
          <w:rFonts w:ascii="Arial" w:hAnsi="Arial" w:cs="Arial"/>
        </w:rPr>
        <w:t>All non-interest bearing</w:t>
      </w:r>
      <w:r w:rsidR="004B5D04">
        <w:rPr>
          <w:rFonts w:ascii="Arial" w:hAnsi="Arial" w:cs="Arial"/>
        </w:rPr>
        <w:t xml:space="preserve"> </w:t>
      </w:r>
      <w:r w:rsidR="008D1CBF">
        <w:rPr>
          <w:rFonts w:ascii="Arial" w:hAnsi="Arial" w:cs="Arial"/>
        </w:rPr>
        <w:t>accounts are to have either a nil balance or minimum level to meet payment commitments.</w:t>
      </w:r>
    </w:p>
    <w:p w:rsidR="00086254" w:rsidRDefault="008D1CBF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86254" w:rsidRPr="008D1CBF" w:rsidRDefault="00086254" w:rsidP="004B5D04">
      <w:pPr>
        <w:spacing w:after="0"/>
        <w:rPr>
          <w:rFonts w:ascii="Arial" w:hAnsi="Arial" w:cs="Arial"/>
          <w:b/>
        </w:rPr>
      </w:pPr>
      <w:r w:rsidRPr="008D1CBF">
        <w:rPr>
          <w:rFonts w:ascii="Arial" w:hAnsi="Arial" w:cs="Arial"/>
          <w:b/>
        </w:rPr>
        <w:t>Investment of Surplus Funds</w:t>
      </w:r>
    </w:p>
    <w:p w:rsidR="008D1CBF" w:rsidRDefault="008D1CBF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All surplus funds are to be held in interest bearing accounts or term deposits</w:t>
      </w:r>
      <w:r w:rsidR="004B5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with a New Zealand trading bank.  If there is a Government guarantee scheme</w:t>
      </w:r>
      <w:r w:rsidR="004B5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operating then the rules to fall under the scheme will apply to value of deposits</w:t>
      </w:r>
      <w:r w:rsidR="004B5D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held with any particular bank.</w:t>
      </w:r>
    </w:p>
    <w:p w:rsidR="008D1CBF" w:rsidRDefault="008D1CBF" w:rsidP="001E6864">
      <w:pPr>
        <w:spacing w:after="0"/>
        <w:rPr>
          <w:rFonts w:ascii="Arial" w:hAnsi="Arial" w:cs="Arial"/>
        </w:rPr>
      </w:pPr>
    </w:p>
    <w:p w:rsidR="00086254" w:rsidRPr="00A75E4A" w:rsidRDefault="00A75E4A" w:rsidP="001E6864">
      <w:pPr>
        <w:spacing w:after="0"/>
        <w:rPr>
          <w:rFonts w:ascii="Arial" w:hAnsi="Arial" w:cs="Arial"/>
          <w:b/>
        </w:rPr>
      </w:pPr>
      <w:r w:rsidRPr="00A75E4A">
        <w:rPr>
          <w:rFonts w:ascii="Arial" w:hAnsi="Arial" w:cs="Arial"/>
          <w:b/>
        </w:rPr>
        <w:t>Sensitive Expenditure</w:t>
      </w:r>
    </w:p>
    <w:p w:rsidR="00A75E4A" w:rsidRDefault="00A75E4A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 Sensitive Expenditure Policy</w:t>
      </w:r>
    </w:p>
    <w:p w:rsidR="00A75E4A" w:rsidRDefault="00A75E4A" w:rsidP="001E6864">
      <w:pPr>
        <w:spacing w:after="0"/>
        <w:rPr>
          <w:rFonts w:ascii="Arial" w:hAnsi="Arial" w:cs="Arial"/>
        </w:rPr>
      </w:pPr>
    </w:p>
    <w:p w:rsidR="00A75E4A" w:rsidRPr="00532860" w:rsidRDefault="00A75E4A" w:rsidP="001E6864">
      <w:pPr>
        <w:spacing w:after="0"/>
        <w:rPr>
          <w:rFonts w:ascii="Arial" w:hAnsi="Arial" w:cs="Arial"/>
          <w:b/>
        </w:rPr>
      </w:pPr>
      <w:r w:rsidRPr="00532860">
        <w:rPr>
          <w:rFonts w:ascii="Arial" w:hAnsi="Arial" w:cs="Arial"/>
          <w:b/>
        </w:rPr>
        <w:t xml:space="preserve">Reimbursements to </w:t>
      </w:r>
      <w:r w:rsidR="00A85EAD">
        <w:rPr>
          <w:rFonts w:ascii="Arial" w:hAnsi="Arial" w:cs="Arial"/>
          <w:b/>
        </w:rPr>
        <w:t>Staff &amp; M</w:t>
      </w:r>
      <w:r w:rsidRPr="00532860">
        <w:rPr>
          <w:rFonts w:ascii="Arial" w:hAnsi="Arial" w:cs="Arial"/>
          <w:b/>
        </w:rPr>
        <w:t>embers</w:t>
      </w:r>
    </w:p>
    <w:p w:rsidR="00A75E4A" w:rsidRDefault="00A75E4A" w:rsidP="001E686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Acceptable methods of receiving reimbursement requests</w:t>
      </w:r>
      <w:r w:rsidR="004B5D04">
        <w:rPr>
          <w:rFonts w:ascii="Arial" w:hAnsi="Arial" w:cs="Arial"/>
        </w:rPr>
        <w:t xml:space="preserve"> are</w:t>
      </w:r>
      <w:r>
        <w:rPr>
          <w:rFonts w:ascii="Arial" w:hAnsi="Arial" w:cs="Arial"/>
        </w:rPr>
        <w:t>:</w:t>
      </w:r>
    </w:p>
    <w:p w:rsidR="004B5D04" w:rsidRDefault="004B5D04" w:rsidP="001E6864">
      <w:pPr>
        <w:spacing w:after="0"/>
        <w:rPr>
          <w:rFonts w:ascii="Arial" w:hAnsi="Arial" w:cs="Arial"/>
        </w:rPr>
      </w:pPr>
    </w:p>
    <w:p w:rsidR="00A75E4A" w:rsidRDefault="004B5D04" w:rsidP="004B5D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A75E4A" w:rsidRPr="004B5D04">
        <w:rPr>
          <w:rFonts w:ascii="Arial" w:hAnsi="Arial" w:cs="Arial"/>
        </w:rPr>
        <w:t xml:space="preserve">An email </w:t>
      </w:r>
      <w:r>
        <w:rPr>
          <w:rFonts w:ascii="Arial" w:hAnsi="Arial" w:cs="Arial"/>
        </w:rPr>
        <w:t xml:space="preserve">to the Accountant </w:t>
      </w:r>
      <w:r w:rsidR="00A75E4A" w:rsidRPr="004B5D04">
        <w:rPr>
          <w:rFonts w:ascii="Arial" w:hAnsi="Arial" w:cs="Arial"/>
        </w:rPr>
        <w:t>from either a treasurer/member with a scanned copy of a</w:t>
      </w:r>
      <w:r>
        <w:rPr>
          <w:rFonts w:ascii="Arial" w:hAnsi="Arial" w:cs="Arial"/>
        </w:rPr>
        <w:t xml:space="preserve"> </w:t>
      </w:r>
      <w:r w:rsidR="00A75E4A">
        <w:rPr>
          <w:rFonts w:ascii="Arial" w:hAnsi="Arial" w:cs="Arial"/>
        </w:rPr>
        <w:t>Receipt/s attached</w:t>
      </w:r>
      <w:r>
        <w:rPr>
          <w:rFonts w:ascii="Arial" w:hAnsi="Arial" w:cs="Arial"/>
        </w:rPr>
        <w:t>.</w:t>
      </w:r>
      <w:r w:rsidR="00A75E4A">
        <w:rPr>
          <w:rFonts w:ascii="Arial" w:hAnsi="Arial" w:cs="Arial"/>
        </w:rPr>
        <w:t xml:space="preserve"> If received from a member</w:t>
      </w:r>
      <w:r>
        <w:rPr>
          <w:rFonts w:ascii="Arial" w:hAnsi="Arial" w:cs="Arial"/>
        </w:rPr>
        <w:t xml:space="preserve">, </w:t>
      </w:r>
      <w:r w:rsidR="00A75E4A">
        <w:rPr>
          <w:rFonts w:ascii="Arial" w:hAnsi="Arial" w:cs="Arial"/>
        </w:rPr>
        <w:t>the Acc</w:t>
      </w:r>
      <w:r w:rsidR="00532860">
        <w:rPr>
          <w:rFonts w:ascii="Arial" w:hAnsi="Arial" w:cs="Arial"/>
        </w:rPr>
        <w:t>o</w:t>
      </w:r>
      <w:r w:rsidR="00A75E4A">
        <w:rPr>
          <w:rFonts w:ascii="Arial" w:hAnsi="Arial" w:cs="Arial"/>
        </w:rPr>
        <w:t>untant forwards the email to the branch treasurer</w:t>
      </w:r>
      <w:r>
        <w:rPr>
          <w:rFonts w:ascii="Arial" w:hAnsi="Arial" w:cs="Arial"/>
        </w:rPr>
        <w:t xml:space="preserve"> </w:t>
      </w:r>
      <w:r w:rsidR="00A75E4A">
        <w:rPr>
          <w:rFonts w:ascii="Arial" w:hAnsi="Arial" w:cs="Arial"/>
        </w:rPr>
        <w:t>concerned</w:t>
      </w:r>
      <w:r w:rsidR="00532860">
        <w:rPr>
          <w:rFonts w:ascii="Arial" w:hAnsi="Arial" w:cs="Arial"/>
        </w:rPr>
        <w:t xml:space="preserve"> (if for a branch expense)</w:t>
      </w:r>
      <w:r w:rsidR="00A75E4A">
        <w:rPr>
          <w:rFonts w:ascii="Arial" w:hAnsi="Arial" w:cs="Arial"/>
        </w:rPr>
        <w:t>, who emails back their approval to pay.  The claim is</w:t>
      </w:r>
      <w:r w:rsidR="00532860">
        <w:rPr>
          <w:rFonts w:ascii="Arial" w:hAnsi="Arial" w:cs="Arial"/>
        </w:rPr>
        <w:t xml:space="preserve"> </w:t>
      </w:r>
      <w:r w:rsidR="00A75E4A">
        <w:rPr>
          <w:rFonts w:ascii="Arial" w:hAnsi="Arial" w:cs="Arial"/>
        </w:rPr>
        <w:t>then given to the Chief E</w:t>
      </w:r>
      <w:r w:rsidR="00532860">
        <w:rPr>
          <w:rFonts w:ascii="Arial" w:hAnsi="Arial" w:cs="Arial"/>
        </w:rPr>
        <w:t xml:space="preserve">xecutive </w:t>
      </w:r>
      <w:r>
        <w:rPr>
          <w:rFonts w:ascii="Arial" w:hAnsi="Arial" w:cs="Arial"/>
        </w:rPr>
        <w:t>for final</w:t>
      </w:r>
      <w:r w:rsidR="00532860">
        <w:rPr>
          <w:rFonts w:ascii="Arial" w:hAnsi="Arial" w:cs="Arial"/>
        </w:rPr>
        <w:t xml:space="preserve"> approv</w:t>
      </w:r>
      <w:r>
        <w:rPr>
          <w:rFonts w:ascii="Arial" w:hAnsi="Arial" w:cs="Arial"/>
        </w:rPr>
        <w:t>al</w:t>
      </w:r>
      <w:r w:rsidR="00532860">
        <w:rPr>
          <w:rFonts w:ascii="Arial" w:hAnsi="Arial" w:cs="Arial"/>
        </w:rPr>
        <w:t xml:space="preserve"> for payment.</w:t>
      </w:r>
    </w:p>
    <w:p w:rsidR="00532860" w:rsidRDefault="00532860" w:rsidP="00532860">
      <w:pPr>
        <w:spacing w:after="0"/>
        <w:rPr>
          <w:rFonts w:ascii="Arial" w:hAnsi="Arial" w:cs="Arial"/>
        </w:rPr>
      </w:pPr>
    </w:p>
    <w:p w:rsidR="00532860" w:rsidRDefault="004B5D04" w:rsidP="004B5D04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532860" w:rsidRPr="004B5D04">
        <w:rPr>
          <w:rFonts w:ascii="Arial" w:hAnsi="Arial" w:cs="Arial"/>
        </w:rPr>
        <w:t>A claim form or invoice, with receipts attached, is posted to the Institute</w:t>
      </w:r>
      <w:r>
        <w:rPr>
          <w:rFonts w:ascii="Arial" w:hAnsi="Arial" w:cs="Arial"/>
        </w:rPr>
        <w:t xml:space="preserve"> </w:t>
      </w:r>
      <w:r w:rsidR="00532860">
        <w:rPr>
          <w:rFonts w:ascii="Arial" w:hAnsi="Arial" w:cs="Arial"/>
        </w:rPr>
        <w:t>from a branch treasurer with their signature on it, or from a member directly.</w:t>
      </w:r>
    </w:p>
    <w:p w:rsidR="0081352F" w:rsidRDefault="0081352F" w:rsidP="00532860">
      <w:pPr>
        <w:pStyle w:val="ListParagraph"/>
        <w:spacing w:after="0"/>
        <w:ind w:left="1080"/>
        <w:rPr>
          <w:rFonts w:ascii="Arial" w:hAnsi="Arial" w:cs="Arial"/>
        </w:rPr>
      </w:pPr>
    </w:p>
    <w:p w:rsidR="000052AC" w:rsidRDefault="00532860" w:rsidP="00532860">
      <w:pPr>
        <w:spacing w:after="0"/>
        <w:rPr>
          <w:rFonts w:ascii="Arial" w:hAnsi="Arial" w:cs="Arial"/>
        </w:rPr>
      </w:pPr>
      <w:r w:rsidRPr="0081352F">
        <w:rPr>
          <w:rFonts w:ascii="Arial" w:hAnsi="Arial" w:cs="Arial"/>
        </w:rPr>
        <w:t>The cost may be for a non</w:t>
      </w:r>
      <w:r w:rsidR="00343F93">
        <w:rPr>
          <w:rFonts w:ascii="Arial" w:hAnsi="Arial" w:cs="Arial"/>
        </w:rPr>
        <w:t>-</w:t>
      </w:r>
      <w:r w:rsidRPr="0081352F">
        <w:rPr>
          <w:rFonts w:ascii="Arial" w:hAnsi="Arial" w:cs="Arial"/>
        </w:rPr>
        <w:t>branch activity, e.g. jury expenses, in which case</w:t>
      </w:r>
      <w:r w:rsidR="000052AC">
        <w:rPr>
          <w:rFonts w:ascii="Arial" w:hAnsi="Arial" w:cs="Arial"/>
        </w:rPr>
        <w:t xml:space="preserve"> </w:t>
      </w:r>
      <w:r w:rsidRPr="0081352F">
        <w:rPr>
          <w:rFonts w:ascii="Arial" w:hAnsi="Arial" w:cs="Arial"/>
        </w:rPr>
        <w:t>it is not a branch cost.  All such claims and invoices must be approved by</w:t>
      </w:r>
      <w:r w:rsidR="000052AC">
        <w:rPr>
          <w:rFonts w:ascii="Arial" w:hAnsi="Arial" w:cs="Arial"/>
        </w:rPr>
        <w:t xml:space="preserve"> </w:t>
      </w:r>
      <w:r w:rsidRPr="0081352F">
        <w:rPr>
          <w:rFonts w:ascii="Arial" w:hAnsi="Arial" w:cs="Arial"/>
        </w:rPr>
        <w:t>the Chief Executive.</w:t>
      </w:r>
      <w:r w:rsidR="000052AC">
        <w:rPr>
          <w:rFonts w:ascii="Arial" w:hAnsi="Arial" w:cs="Arial"/>
        </w:rPr>
        <w:t xml:space="preserve"> </w:t>
      </w:r>
    </w:p>
    <w:p w:rsidR="000052AC" w:rsidRDefault="000052AC" w:rsidP="00532860">
      <w:pPr>
        <w:spacing w:after="0"/>
        <w:rPr>
          <w:rFonts w:ascii="Arial" w:hAnsi="Arial" w:cs="Arial"/>
        </w:rPr>
      </w:pPr>
    </w:p>
    <w:p w:rsidR="000052AC" w:rsidRDefault="00532860" w:rsidP="0053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Reimbursement claims without receipts or supporting evidence will not be accepted.</w:t>
      </w:r>
      <w:r w:rsidR="000052AC">
        <w:rPr>
          <w:rFonts w:ascii="Arial" w:hAnsi="Arial" w:cs="Arial"/>
        </w:rPr>
        <w:t xml:space="preserve"> </w:t>
      </w:r>
    </w:p>
    <w:p w:rsidR="000052AC" w:rsidRDefault="000052AC" w:rsidP="00532860">
      <w:pPr>
        <w:spacing w:after="0"/>
        <w:rPr>
          <w:rFonts w:ascii="Arial" w:hAnsi="Arial" w:cs="Arial"/>
        </w:rPr>
      </w:pPr>
    </w:p>
    <w:p w:rsidR="00524222" w:rsidRDefault="00A85EAD" w:rsidP="0053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Chief Executive’s reimbursement claims are to be </w:t>
      </w:r>
      <w:r w:rsidR="004E60E5">
        <w:rPr>
          <w:rFonts w:ascii="Arial" w:hAnsi="Arial" w:cs="Arial"/>
        </w:rPr>
        <w:t>checked,</w:t>
      </w:r>
      <w:r>
        <w:rPr>
          <w:rFonts w:ascii="Arial" w:hAnsi="Arial" w:cs="Arial"/>
        </w:rPr>
        <w:t xml:space="preserve"> coded and initialled</w:t>
      </w:r>
      <w:r w:rsidR="00524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by the Accountant, then signed off by the President.  </w:t>
      </w:r>
      <w:r w:rsidR="000052AC">
        <w:rPr>
          <w:rFonts w:ascii="Arial" w:hAnsi="Arial" w:cs="Arial"/>
        </w:rPr>
        <w:t xml:space="preserve">An </w:t>
      </w:r>
      <w:r w:rsidR="00524222">
        <w:rPr>
          <w:rFonts w:ascii="Arial" w:hAnsi="Arial" w:cs="Arial"/>
        </w:rPr>
        <w:t>External Audit</w:t>
      </w:r>
      <w:r w:rsidR="000052AC">
        <w:rPr>
          <w:rFonts w:ascii="Arial" w:hAnsi="Arial" w:cs="Arial"/>
        </w:rPr>
        <w:t xml:space="preserve"> </w:t>
      </w:r>
      <w:r w:rsidR="00524222">
        <w:rPr>
          <w:rFonts w:ascii="Arial" w:hAnsi="Arial" w:cs="Arial"/>
        </w:rPr>
        <w:t xml:space="preserve">check </w:t>
      </w:r>
      <w:r w:rsidR="000052AC">
        <w:rPr>
          <w:rFonts w:ascii="Arial" w:hAnsi="Arial" w:cs="Arial"/>
        </w:rPr>
        <w:t xml:space="preserve">is made of </w:t>
      </w:r>
      <w:r w:rsidR="00524222">
        <w:rPr>
          <w:rFonts w:ascii="Arial" w:hAnsi="Arial" w:cs="Arial"/>
        </w:rPr>
        <w:t>all of the Chief Executive’s reimbursements.</w:t>
      </w:r>
    </w:p>
    <w:p w:rsidR="000052AC" w:rsidRDefault="00532860" w:rsidP="0053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32860" w:rsidRDefault="00532860" w:rsidP="0053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Reimbursements to members will be made to nominated bank accounts and paid within five days of receipt.</w:t>
      </w:r>
    </w:p>
    <w:p w:rsidR="0081352F" w:rsidRDefault="0081352F" w:rsidP="00532860">
      <w:pPr>
        <w:spacing w:after="0"/>
        <w:rPr>
          <w:rFonts w:ascii="Arial" w:hAnsi="Arial" w:cs="Arial"/>
        </w:rPr>
      </w:pPr>
    </w:p>
    <w:p w:rsidR="0081352F" w:rsidRPr="007778B9" w:rsidRDefault="0081352F" w:rsidP="00532860">
      <w:pPr>
        <w:spacing w:after="0"/>
        <w:rPr>
          <w:rFonts w:ascii="Arial" w:hAnsi="Arial" w:cs="Arial"/>
          <w:b/>
        </w:rPr>
      </w:pPr>
      <w:r w:rsidRPr="007778B9">
        <w:rPr>
          <w:rFonts w:ascii="Arial" w:hAnsi="Arial" w:cs="Arial"/>
          <w:b/>
        </w:rPr>
        <w:t>Credit Cards</w:t>
      </w:r>
    </w:p>
    <w:p w:rsidR="007778B9" w:rsidRDefault="0081352F" w:rsidP="000052AC">
      <w:pPr>
        <w:spacing w:after="0"/>
        <w:rPr>
          <w:rFonts w:ascii="Arial" w:hAnsi="Arial" w:cs="Arial"/>
        </w:rPr>
      </w:pPr>
      <w:r w:rsidRPr="0081352F">
        <w:rPr>
          <w:rFonts w:ascii="Arial" w:hAnsi="Arial" w:cs="Arial"/>
        </w:rPr>
        <w:t xml:space="preserve">Currently only the </w:t>
      </w:r>
      <w:r>
        <w:rPr>
          <w:rFonts w:ascii="Arial" w:hAnsi="Arial" w:cs="Arial"/>
        </w:rPr>
        <w:t>Events Manager has an Institute credit card for use only when</w:t>
      </w:r>
      <w:r w:rsidR="00005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travelling.  The Institute’s bank makes a direct debit each month to clear out the</w:t>
      </w:r>
      <w:r w:rsidR="00005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balance owing on this account.</w:t>
      </w:r>
      <w:r w:rsidR="007778B9">
        <w:rPr>
          <w:rFonts w:ascii="Arial" w:hAnsi="Arial" w:cs="Arial"/>
        </w:rPr>
        <w:t xml:space="preserve">  </w:t>
      </w:r>
    </w:p>
    <w:p w:rsidR="007778B9" w:rsidRDefault="007778B9" w:rsidP="0053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1352F" w:rsidRDefault="00343F93" w:rsidP="00005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Issuing</w:t>
      </w:r>
      <w:r w:rsidR="0081352F">
        <w:rPr>
          <w:rFonts w:ascii="Arial" w:hAnsi="Arial" w:cs="Arial"/>
        </w:rPr>
        <w:t xml:space="preserve"> an Institute credit </w:t>
      </w:r>
      <w:r w:rsidR="00A817E5">
        <w:rPr>
          <w:rFonts w:ascii="Arial" w:hAnsi="Arial" w:cs="Arial"/>
        </w:rPr>
        <w:t xml:space="preserve">card to </w:t>
      </w:r>
      <w:r w:rsidR="0081352F">
        <w:rPr>
          <w:rFonts w:ascii="Arial" w:hAnsi="Arial" w:cs="Arial"/>
        </w:rPr>
        <w:t>any other staff member or</w:t>
      </w:r>
      <w:r w:rsidR="00A817E5">
        <w:rPr>
          <w:rFonts w:ascii="Arial" w:hAnsi="Arial" w:cs="Arial"/>
        </w:rPr>
        <w:t xml:space="preserve"> </w:t>
      </w:r>
      <w:r w:rsidR="0081352F">
        <w:rPr>
          <w:rFonts w:ascii="Arial" w:hAnsi="Arial" w:cs="Arial"/>
        </w:rPr>
        <w:t xml:space="preserve">Institute member </w:t>
      </w:r>
      <w:r>
        <w:rPr>
          <w:rFonts w:ascii="Arial" w:hAnsi="Arial" w:cs="Arial"/>
        </w:rPr>
        <w:t xml:space="preserve">is not supported </w:t>
      </w:r>
      <w:r w:rsidR="0081352F">
        <w:rPr>
          <w:rFonts w:ascii="Arial" w:hAnsi="Arial" w:cs="Arial"/>
        </w:rPr>
        <w:t xml:space="preserve">for </w:t>
      </w:r>
      <w:r w:rsidR="00A817E5">
        <w:rPr>
          <w:rFonts w:ascii="Arial" w:hAnsi="Arial" w:cs="Arial"/>
        </w:rPr>
        <w:t>two</w:t>
      </w:r>
      <w:r w:rsidR="0081352F">
        <w:rPr>
          <w:rFonts w:ascii="Arial" w:hAnsi="Arial" w:cs="Arial"/>
        </w:rPr>
        <w:t xml:space="preserve"> reasons:</w:t>
      </w:r>
    </w:p>
    <w:p w:rsidR="000052AC" w:rsidRDefault="000052AC" w:rsidP="000052AC">
      <w:pPr>
        <w:spacing w:after="0"/>
        <w:rPr>
          <w:rFonts w:ascii="Arial" w:hAnsi="Arial" w:cs="Arial"/>
        </w:rPr>
      </w:pPr>
    </w:p>
    <w:p w:rsidR="0081352F" w:rsidRPr="00A67E29" w:rsidRDefault="000052AC" w:rsidP="000052A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• </w:t>
      </w:r>
      <w:r w:rsidR="0081352F" w:rsidRPr="00A67E29">
        <w:rPr>
          <w:rFonts w:ascii="Arial" w:hAnsi="Arial" w:cs="Arial"/>
        </w:rPr>
        <w:t>Tight Internal Control</w:t>
      </w:r>
    </w:p>
    <w:p w:rsidR="000A379A" w:rsidRDefault="0081352F" w:rsidP="000052AC">
      <w:pPr>
        <w:spacing w:after="0"/>
        <w:rPr>
          <w:rFonts w:ascii="Arial" w:hAnsi="Arial" w:cs="Arial"/>
        </w:rPr>
      </w:pPr>
      <w:r w:rsidRPr="000052AC">
        <w:rPr>
          <w:rFonts w:ascii="Arial" w:hAnsi="Arial" w:cs="Arial"/>
        </w:rPr>
        <w:t xml:space="preserve">By only reimbursing claims with receipts attached </w:t>
      </w:r>
      <w:r>
        <w:rPr>
          <w:rFonts w:ascii="Arial" w:hAnsi="Arial" w:cs="Arial"/>
        </w:rPr>
        <w:t xml:space="preserve">spenders </w:t>
      </w:r>
      <w:r w:rsidR="00A67E29">
        <w:rPr>
          <w:rFonts w:ascii="Arial" w:hAnsi="Arial" w:cs="Arial"/>
        </w:rPr>
        <w:t xml:space="preserve">are encouraged </w:t>
      </w:r>
      <w:r>
        <w:rPr>
          <w:rFonts w:ascii="Arial" w:hAnsi="Arial" w:cs="Arial"/>
        </w:rPr>
        <w:t>to keep their receipts and to physically match their receipts</w:t>
      </w:r>
      <w:r w:rsidR="00A67E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their claim before sending them in for reimbursement.</w:t>
      </w:r>
      <w:r w:rsidR="00005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a credit card is used, the statement goes to the Institute and not the</w:t>
      </w:r>
      <w:r w:rsidR="000052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spender, and the funds are </w:t>
      </w:r>
      <w:r w:rsidR="00887903">
        <w:rPr>
          <w:rFonts w:ascii="Arial" w:hAnsi="Arial" w:cs="Arial"/>
        </w:rPr>
        <w:t>taken</w:t>
      </w:r>
      <w:r>
        <w:rPr>
          <w:rFonts w:ascii="Arial" w:hAnsi="Arial" w:cs="Arial"/>
        </w:rPr>
        <w:t xml:space="preserve"> out of the Institute’s bank account</w:t>
      </w:r>
      <w:r w:rsidR="000052AC">
        <w:rPr>
          <w:rFonts w:ascii="Arial" w:hAnsi="Arial" w:cs="Arial"/>
        </w:rPr>
        <w:t xml:space="preserve"> </w:t>
      </w:r>
      <w:r w:rsidRPr="00343F93">
        <w:rPr>
          <w:rFonts w:ascii="Arial" w:hAnsi="Arial" w:cs="Arial"/>
        </w:rPr>
        <w:t>whether or not there are receipts to support the expenses.</w:t>
      </w:r>
      <w:r w:rsidR="000052AC">
        <w:rPr>
          <w:rFonts w:ascii="Arial" w:hAnsi="Arial" w:cs="Arial"/>
        </w:rPr>
        <w:t xml:space="preserve"> </w:t>
      </w:r>
      <w:r w:rsidR="00662490">
        <w:rPr>
          <w:rFonts w:ascii="Arial" w:hAnsi="Arial" w:cs="Arial"/>
        </w:rPr>
        <w:t xml:space="preserve">The use of credit cards by members </w:t>
      </w:r>
      <w:r w:rsidR="000052AC">
        <w:rPr>
          <w:rFonts w:ascii="Arial" w:hAnsi="Arial" w:cs="Arial"/>
        </w:rPr>
        <w:t xml:space="preserve">would </w:t>
      </w:r>
      <w:r w:rsidR="00662490">
        <w:rPr>
          <w:rFonts w:ascii="Arial" w:hAnsi="Arial" w:cs="Arial"/>
        </w:rPr>
        <w:t>mean that members can spend</w:t>
      </w:r>
      <w:r w:rsidR="000052AC">
        <w:rPr>
          <w:rFonts w:ascii="Arial" w:hAnsi="Arial" w:cs="Arial"/>
        </w:rPr>
        <w:t xml:space="preserve"> </w:t>
      </w:r>
      <w:r w:rsidR="00662490">
        <w:rPr>
          <w:rFonts w:ascii="Arial" w:hAnsi="Arial" w:cs="Arial"/>
        </w:rPr>
        <w:t xml:space="preserve">Institute money without </w:t>
      </w:r>
      <w:r w:rsidR="000A379A">
        <w:rPr>
          <w:rFonts w:ascii="Arial" w:hAnsi="Arial" w:cs="Arial"/>
        </w:rPr>
        <w:t>their being directly motivated to keep their receipts,</w:t>
      </w:r>
      <w:r w:rsidR="000052AC">
        <w:rPr>
          <w:rFonts w:ascii="Arial" w:hAnsi="Arial" w:cs="Arial"/>
        </w:rPr>
        <w:t xml:space="preserve"> </w:t>
      </w:r>
      <w:r w:rsidR="000A379A">
        <w:rPr>
          <w:rFonts w:ascii="Arial" w:hAnsi="Arial" w:cs="Arial"/>
        </w:rPr>
        <w:t xml:space="preserve">and </w:t>
      </w:r>
      <w:r w:rsidR="00A67E29">
        <w:rPr>
          <w:rFonts w:ascii="Arial" w:hAnsi="Arial" w:cs="Arial"/>
        </w:rPr>
        <w:t xml:space="preserve">to </w:t>
      </w:r>
      <w:r w:rsidR="000A379A">
        <w:rPr>
          <w:rFonts w:ascii="Arial" w:hAnsi="Arial" w:cs="Arial"/>
        </w:rPr>
        <w:t>send them in before the bank takes the funds out of the Institute’s</w:t>
      </w:r>
      <w:r w:rsidR="000052AC">
        <w:rPr>
          <w:rFonts w:ascii="Arial" w:hAnsi="Arial" w:cs="Arial"/>
        </w:rPr>
        <w:t xml:space="preserve"> </w:t>
      </w:r>
      <w:r w:rsidR="00A67E29">
        <w:rPr>
          <w:rFonts w:ascii="Arial" w:hAnsi="Arial" w:cs="Arial"/>
        </w:rPr>
        <w:t>b</w:t>
      </w:r>
      <w:r w:rsidR="000A379A">
        <w:rPr>
          <w:rFonts w:ascii="Arial" w:hAnsi="Arial" w:cs="Arial"/>
        </w:rPr>
        <w:t>ank account.</w:t>
      </w:r>
    </w:p>
    <w:p w:rsidR="00662490" w:rsidRDefault="00662490" w:rsidP="005328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32860" w:rsidRPr="004E60E5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662490" w:rsidRPr="004E60E5">
        <w:rPr>
          <w:rFonts w:ascii="Arial" w:hAnsi="Arial" w:cs="Arial"/>
        </w:rPr>
        <w:t>GST</w:t>
      </w:r>
    </w:p>
    <w:p w:rsidR="007778B9" w:rsidRPr="00A67E29" w:rsidRDefault="00662490" w:rsidP="00A67E29">
      <w:pPr>
        <w:spacing w:after="0"/>
        <w:rPr>
          <w:rFonts w:ascii="Arial" w:hAnsi="Arial" w:cs="Arial"/>
        </w:rPr>
      </w:pPr>
      <w:r w:rsidRPr="004E60E5">
        <w:rPr>
          <w:rFonts w:ascii="Arial" w:hAnsi="Arial" w:cs="Arial"/>
        </w:rPr>
        <w:t>IRD rules state that in order to claim GST, a GST receipt is necessary</w:t>
      </w:r>
      <w:r w:rsidR="004E60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for items of $50 or more.</w:t>
      </w:r>
      <w:r w:rsidR="007778B9">
        <w:rPr>
          <w:rFonts w:ascii="Arial" w:hAnsi="Arial" w:cs="Arial"/>
        </w:rPr>
        <w:t xml:space="preserve">  By </w:t>
      </w:r>
      <w:r w:rsidR="007778B9" w:rsidRPr="004E60E5">
        <w:rPr>
          <w:rFonts w:ascii="Arial" w:hAnsi="Arial" w:cs="Arial"/>
        </w:rPr>
        <w:t xml:space="preserve">not </w:t>
      </w:r>
      <w:r w:rsidR="007778B9">
        <w:rPr>
          <w:rFonts w:ascii="Arial" w:hAnsi="Arial" w:cs="Arial"/>
        </w:rPr>
        <w:t>paying out reimbursements unless</w:t>
      </w:r>
      <w:r w:rsidR="004E60E5">
        <w:rPr>
          <w:rFonts w:ascii="Arial" w:hAnsi="Arial" w:cs="Arial"/>
        </w:rPr>
        <w:t xml:space="preserve"> </w:t>
      </w:r>
      <w:r w:rsidR="007778B9">
        <w:rPr>
          <w:rFonts w:ascii="Arial" w:hAnsi="Arial" w:cs="Arial"/>
        </w:rPr>
        <w:t>receipts are received, the Institute encourages members to send in</w:t>
      </w:r>
      <w:r w:rsidR="004E60E5">
        <w:rPr>
          <w:rFonts w:ascii="Arial" w:hAnsi="Arial" w:cs="Arial"/>
        </w:rPr>
        <w:t xml:space="preserve"> </w:t>
      </w:r>
      <w:r w:rsidR="007778B9">
        <w:rPr>
          <w:rFonts w:ascii="Arial" w:hAnsi="Arial" w:cs="Arial"/>
        </w:rPr>
        <w:t>their receipts, and the Institute can therefore claim all the GST it is</w:t>
      </w:r>
      <w:r w:rsidR="004E60E5">
        <w:rPr>
          <w:rFonts w:ascii="Arial" w:hAnsi="Arial" w:cs="Arial"/>
        </w:rPr>
        <w:t xml:space="preserve"> </w:t>
      </w:r>
      <w:r w:rsidR="007778B9" w:rsidRPr="00A67E29">
        <w:rPr>
          <w:rFonts w:ascii="Arial" w:hAnsi="Arial" w:cs="Arial"/>
        </w:rPr>
        <w:t>eligible to claim for.</w:t>
      </w:r>
    </w:p>
    <w:p w:rsidR="00A817E5" w:rsidRDefault="00A817E5" w:rsidP="00EC015E">
      <w:pPr>
        <w:spacing w:after="0"/>
        <w:rPr>
          <w:rFonts w:ascii="Arial" w:hAnsi="Arial" w:cs="Arial"/>
        </w:rPr>
      </w:pPr>
    </w:p>
    <w:p w:rsidR="00EC015E" w:rsidRPr="00EC015E" w:rsidRDefault="00EC015E" w:rsidP="00EC015E">
      <w:pPr>
        <w:spacing w:after="0"/>
        <w:rPr>
          <w:rFonts w:ascii="Arial" w:hAnsi="Arial" w:cs="Arial"/>
          <w:b/>
        </w:rPr>
      </w:pPr>
      <w:r w:rsidRPr="00EC015E">
        <w:rPr>
          <w:rFonts w:ascii="Arial" w:hAnsi="Arial" w:cs="Arial"/>
          <w:b/>
        </w:rPr>
        <w:t>Responsibilities:</w:t>
      </w:r>
    </w:p>
    <w:p w:rsidR="00EC015E" w:rsidRPr="004E60E5" w:rsidRDefault="0093305B" w:rsidP="00EC015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Council</w:t>
      </w:r>
    </w:p>
    <w:p w:rsidR="00A67E29" w:rsidRPr="00A67E29" w:rsidRDefault="00A67E29" w:rsidP="00EC015E">
      <w:pPr>
        <w:spacing w:after="0"/>
        <w:rPr>
          <w:rFonts w:ascii="Arial" w:hAnsi="Arial" w:cs="Arial"/>
        </w:rPr>
      </w:pPr>
    </w:p>
    <w:p w:rsidR="00EC015E" w:rsidRPr="004E60E5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•</w:t>
      </w:r>
      <w:r w:rsidR="00EC015E" w:rsidRPr="004E60E5">
        <w:rPr>
          <w:rFonts w:ascii="Arial" w:hAnsi="Arial" w:cs="Arial"/>
        </w:rPr>
        <w:t>sets the Institute’s overall strategic direction</w:t>
      </w:r>
    </w:p>
    <w:p w:rsidR="00EC015E" w:rsidRPr="004E60E5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EC015E" w:rsidRPr="004E60E5">
        <w:rPr>
          <w:rFonts w:ascii="Arial" w:hAnsi="Arial" w:cs="Arial"/>
        </w:rPr>
        <w:t>adopts the Strategic Plan and Budget</w:t>
      </w:r>
    </w:p>
    <w:p w:rsidR="00EC015E" w:rsidRPr="004E60E5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EC015E" w:rsidRPr="004E60E5">
        <w:rPr>
          <w:rFonts w:ascii="Arial" w:hAnsi="Arial" w:cs="Arial"/>
        </w:rPr>
        <w:t>ensures, through the external auditors, that the appropriate financial management systems are in place, including delegations</w:t>
      </w:r>
    </w:p>
    <w:p w:rsidR="00EC015E" w:rsidRPr="004E60E5" w:rsidRDefault="00EC015E" w:rsidP="004E60E5">
      <w:pPr>
        <w:spacing w:after="0"/>
        <w:rPr>
          <w:rFonts w:ascii="Arial" w:hAnsi="Arial" w:cs="Arial"/>
        </w:rPr>
      </w:pPr>
      <w:proofErr w:type="gramStart"/>
      <w:r w:rsidRPr="004E60E5">
        <w:rPr>
          <w:rFonts w:ascii="Arial" w:hAnsi="Arial" w:cs="Arial"/>
        </w:rPr>
        <w:t>monitors</w:t>
      </w:r>
      <w:proofErr w:type="gramEnd"/>
      <w:r w:rsidRPr="004E60E5">
        <w:rPr>
          <w:rFonts w:ascii="Arial" w:hAnsi="Arial" w:cs="Arial"/>
        </w:rPr>
        <w:t xml:space="preserve"> performance against the Strategic Plan and Budget</w:t>
      </w:r>
    </w:p>
    <w:p w:rsidR="00EC015E" w:rsidRPr="004E60E5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EC015E" w:rsidRPr="004E60E5">
        <w:rPr>
          <w:rFonts w:ascii="Arial" w:hAnsi="Arial" w:cs="Arial"/>
        </w:rPr>
        <w:t>reports to the membership in the Annual Report</w:t>
      </w:r>
    </w:p>
    <w:p w:rsidR="00EC015E" w:rsidRDefault="00EC015E" w:rsidP="00EC015E">
      <w:pPr>
        <w:spacing w:after="0"/>
        <w:rPr>
          <w:rFonts w:ascii="Arial" w:hAnsi="Arial" w:cs="Arial"/>
        </w:rPr>
      </w:pPr>
    </w:p>
    <w:p w:rsidR="00EC015E" w:rsidRDefault="0093305B" w:rsidP="004E60E5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Management</w:t>
      </w:r>
    </w:p>
    <w:p w:rsidR="004E60E5" w:rsidRPr="004E60E5" w:rsidRDefault="004E60E5" w:rsidP="004E60E5">
      <w:pPr>
        <w:spacing w:after="0"/>
        <w:rPr>
          <w:rFonts w:ascii="Arial" w:hAnsi="Arial" w:cs="Arial"/>
          <w:b/>
        </w:rPr>
      </w:pPr>
    </w:p>
    <w:p w:rsidR="00EC015E" w:rsidRPr="004E60E5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•d</w:t>
      </w:r>
      <w:r w:rsidR="00EC015E" w:rsidRPr="004E60E5">
        <w:rPr>
          <w:rFonts w:ascii="Arial" w:hAnsi="Arial" w:cs="Arial"/>
        </w:rPr>
        <w:t>rafts the annual Strategic Plan and Budget</w:t>
      </w:r>
    </w:p>
    <w:p w:rsidR="00EC015E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EC015E" w:rsidRPr="004E60E5">
        <w:rPr>
          <w:rFonts w:ascii="Arial" w:hAnsi="Arial" w:cs="Arial"/>
        </w:rPr>
        <w:t>advises the Council in terms of the implementation of the Strategic</w:t>
      </w:r>
      <w:r>
        <w:rPr>
          <w:rFonts w:ascii="Arial" w:hAnsi="Arial" w:cs="Arial"/>
        </w:rPr>
        <w:t xml:space="preserve"> </w:t>
      </w:r>
      <w:r w:rsidR="00EC015E">
        <w:rPr>
          <w:rFonts w:ascii="Arial" w:hAnsi="Arial" w:cs="Arial"/>
        </w:rPr>
        <w:t>Plan and Budget</w:t>
      </w:r>
    </w:p>
    <w:p w:rsidR="00EC015E" w:rsidRPr="004E60E5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EC015E" w:rsidRPr="004E60E5">
        <w:rPr>
          <w:rFonts w:ascii="Arial" w:hAnsi="Arial" w:cs="Arial"/>
        </w:rPr>
        <w:t>advises the Council as to whether:</w:t>
      </w:r>
    </w:p>
    <w:p w:rsidR="00EC015E" w:rsidRPr="004E60E5" w:rsidRDefault="004E60E5" w:rsidP="004E60E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C015E" w:rsidRPr="004E60E5">
        <w:rPr>
          <w:rFonts w:ascii="Arial" w:hAnsi="Arial" w:cs="Arial"/>
        </w:rPr>
        <w:t xml:space="preserve">the Institute complies with relevant </w:t>
      </w:r>
      <w:r w:rsidR="00A67E29" w:rsidRPr="004E60E5">
        <w:rPr>
          <w:rFonts w:ascii="Arial" w:hAnsi="Arial" w:cs="Arial"/>
        </w:rPr>
        <w:t>statutory</w:t>
      </w:r>
      <w:r w:rsidR="00EC015E" w:rsidRPr="004E60E5">
        <w:rPr>
          <w:rFonts w:ascii="Arial" w:hAnsi="Arial" w:cs="Arial"/>
        </w:rPr>
        <w:t xml:space="preserve"> and regulatory requirements</w:t>
      </w:r>
      <w:r>
        <w:rPr>
          <w:rFonts w:ascii="Arial" w:hAnsi="Arial" w:cs="Arial"/>
        </w:rPr>
        <w:t>;</w:t>
      </w:r>
    </w:p>
    <w:p w:rsidR="00EC015E" w:rsidRPr="004E60E5" w:rsidRDefault="004E60E5" w:rsidP="004E60E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3C16" w:rsidRPr="004E60E5">
        <w:rPr>
          <w:rFonts w:ascii="Arial" w:hAnsi="Arial" w:cs="Arial"/>
        </w:rPr>
        <w:t>r</w:t>
      </w:r>
      <w:r w:rsidR="00EC015E" w:rsidRPr="004E60E5">
        <w:rPr>
          <w:rFonts w:ascii="Arial" w:hAnsi="Arial" w:cs="Arial"/>
        </w:rPr>
        <w:t xml:space="preserve">isks have been identified and appropriate steps have been taken to mitigate or </w:t>
      </w:r>
      <w:r>
        <w:rPr>
          <w:rFonts w:ascii="Arial" w:hAnsi="Arial" w:cs="Arial"/>
        </w:rPr>
        <w:t xml:space="preserve">   </w:t>
      </w:r>
      <w:r w:rsidR="00EC015E" w:rsidRPr="004E60E5">
        <w:rPr>
          <w:rFonts w:ascii="Arial" w:hAnsi="Arial" w:cs="Arial"/>
        </w:rPr>
        <w:t>manage them</w:t>
      </w:r>
      <w:r>
        <w:rPr>
          <w:rFonts w:ascii="Arial" w:hAnsi="Arial" w:cs="Arial"/>
        </w:rPr>
        <w:t>;</w:t>
      </w:r>
    </w:p>
    <w:p w:rsidR="00EC015E" w:rsidRPr="00AC3C16" w:rsidRDefault="004E60E5" w:rsidP="004E60E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3C16">
        <w:rPr>
          <w:rFonts w:ascii="Arial" w:hAnsi="Arial" w:cs="Arial"/>
        </w:rPr>
        <w:t>p</w:t>
      </w:r>
      <w:r w:rsidR="00AC3C16" w:rsidRPr="00AC3C16">
        <w:rPr>
          <w:rFonts w:ascii="Arial" w:hAnsi="Arial" w:cs="Arial"/>
        </w:rPr>
        <w:t>rocedures and delegations are in place to ensure that all expenditure is authorised</w:t>
      </w:r>
      <w:r>
        <w:rPr>
          <w:rFonts w:ascii="Arial" w:hAnsi="Arial" w:cs="Arial"/>
        </w:rPr>
        <w:t>;</w:t>
      </w:r>
    </w:p>
    <w:p w:rsidR="00AC3C16" w:rsidRDefault="004E60E5" w:rsidP="004E60E5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3C16">
        <w:rPr>
          <w:rFonts w:ascii="Arial" w:hAnsi="Arial" w:cs="Arial"/>
        </w:rPr>
        <w:t>reporting to the Council and members truly reflects the Institute’s activities, financial and otherwise</w:t>
      </w:r>
      <w:r>
        <w:rPr>
          <w:rFonts w:ascii="Arial" w:hAnsi="Arial" w:cs="Arial"/>
        </w:rPr>
        <w:t>;</w:t>
      </w:r>
    </w:p>
    <w:p w:rsidR="00AC3C16" w:rsidRDefault="004E60E5" w:rsidP="004E60E5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C3C16">
        <w:rPr>
          <w:rFonts w:ascii="Arial" w:hAnsi="Arial" w:cs="Arial"/>
        </w:rPr>
        <w:t>the financial reporting and audit requirements have been met</w:t>
      </w:r>
      <w:r>
        <w:rPr>
          <w:rFonts w:ascii="Arial" w:hAnsi="Arial" w:cs="Arial"/>
        </w:rPr>
        <w:t>;</w:t>
      </w:r>
    </w:p>
    <w:p w:rsidR="00AC3C16" w:rsidRPr="004E60E5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AC3C16" w:rsidRPr="004E60E5">
        <w:rPr>
          <w:rFonts w:ascii="Arial" w:hAnsi="Arial" w:cs="Arial"/>
        </w:rPr>
        <w:t>fosters sound financial practices and an ethical and professional culture throughout the Institute</w:t>
      </w:r>
      <w:r>
        <w:rPr>
          <w:rFonts w:ascii="Arial" w:hAnsi="Arial" w:cs="Arial"/>
        </w:rPr>
        <w:t>;</w:t>
      </w:r>
    </w:p>
    <w:p w:rsidR="00241458" w:rsidRPr="004E60E5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241458" w:rsidRPr="004E60E5">
        <w:rPr>
          <w:rFonts w:ascii="Arial" w:hAnsi="Arial" w:cs="Arial"/>
        </w:rPr>
        <w:t>implements the Strategic Plan</w:t>
      </w:r>
      <w:r>
        <w:rPr>
          <w:rFonts w:ascii="Arial" w:hAnsi="Arial" w:cs="Arial"/>
        </w:rPr>
        <w:t>;</w:t>
      </w:r>
    </w:p>
    <w:p w:rsidR="00241458" w:rsidRPr="004E60E5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241458" w:rsidRPr="004E60E5">
        <w:rPr>
          <w:rFonts w:ascii="Arial" w:hAnsi="Arial" w:cs="Arial"/>
        </w:rPr>
        <w:t>manages day-to-day financial recording and internal controls, having regard to risk</w:t>
      </w:r>
      <w:r>
        <w:rPr>
          <w:rFonts w:ascii="Arial" w:hAnsi="Arial" w:cs="Arial"/>
        </w:rPr>
        <w:t>;</w:t>
      </w:r>
    </w:p>
    <w:p w:rsidR="00241458" w:rsidRPr="004E60E5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241458" w:rsidRPr="004E60E5">
        <w:rPr>
          <w:rFonts w:ascii="Arial" w:hAnsi="Arial" w:cs="Arial"/>
        </w:rPr>
        <w:t>reports to the NZIA Council on the Institute’s financial and overall performance</w:t>
      </w:r>
      <w:r>
        <w:rPr>
          <w:rFonts w:ascii="Arial" w:hAnsi="Arial" w:cs="Arial"/>
        </w:rPr>
        <w:t>;</w:t>
      </w:r>
    </w:p>
    <w:p w:rsidR="00241458" w:rsidRDefault="004E60E5" w:rsidP="004E60E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•</w:t>
      </w:r>
      <w:r w:rsidR="00241458" w:rsidRPr="004E60E5">
        <w:rPr>
          <w:rFonts w:ascii="Arial" w:hAnsi="Arial" w:cs="Arial"/>
        </w:rPr>
        <w:t>writes the Annual Report.</w:t>
      </w:r>
    </w:p>
    <w:p w:rsidR="00054F12" w:rsidRDefault="00054F12" w:rsidP="004E60E5">
      <w:pPr>
        <w:spacing w:after="0"/>
        <w:rPr>
          <w:rFonts w:ascii="Arial" w:hAnsi="Arial" w:cs="Arial"/>
        </w:rPr>
      </w:pPr>
    </w:p>
    <w:p w:rsidR="00256C68" w:rsidRDefault="00256C68" w:rsidP="00054F12">
      <w:pPr>
        <w:spacing w:after="0" w:line="240" w:lineRule="auto"/>
        <w:ind w:left="-284"/>
        <w:rPr>
          <w:rFonts w:ascii="Arial" w:hAnsi="Arial" w:cs="Arial"/>
          <w:b/>
        </w:rPr>
      </w:pPr>
    </w:p>
    <w:p w:rsidR="00256C68" w:rsidRDefault="00256C68" w:rsidP="00054F12">
      <w:pPr>
        <w:spacing w:after="0" w:line="240" w:lineRule="auto"/>
        <w:ind w:left="-284"/>
        <w:rPr>
          <w:rFonts w:ascii="Arial" w:hAnsi="Arial" w:cs="Arial"/>
          <w:b/>
        </w:rPr>
      </w:pPr>
    </w:p>
    <w:p w:rsidR="00256C68" w:rsidRDefault="00256C68" w:rsidP="00054F12">
      <w:pPr>
        <w:spacing w:after="0" w:line="240" w:lineRule="auto"/>
        <w:ind w:left="-284"/>
        <w:rPr>
          <w:rFonts w:ascii="Arial" w:hAnsi="Arial" w:cs="Arial"/>
          <w:b/>
        </w:rPr>
      </w:pPr>
    </w:p>
    <w:p w:rsidR="00256C68" w:rsidRDefault="00256C68" w:rsidP="00054F12">
      <w:pPr>
        <w:spacing w:after="0" w:line="240" w:lineRule="auto"/>
        <w:ind w:left="-284"/>
        <w:rPr>
          <w:rFonts w:ascii="Arial" w:hAnsi="Arial" w:cs="Arial"/>
          <w:b/>
        </w:rPr>
      </w:pPr>
    </w:p>
    <w:p w:rsidR="00256C68" w:rsidRDefault="00256C68" w:rsidP="00054F12">
      <w:pPr>
        <w:spacing w:after="0" w:line="240" w:lineRule="auto"/>
        <w:ind w:left="-284"/>
        <w:rPr>
          <w:rFonts w:ascii="Arial" w:hAnsi="Arial" w:cs="Arial"/>
          <w:b/>
        </w:rPr>
      </w:pPr>
    </w:p>
    <w:p w:rsidR="00256C68" w:rsidRDefault="00256C68" w:rsidP="00054F12">
      <w:pPr>
        <w:spacing w:after="0" w:line="240" w:lineRule="auto"/>
        <w:ind w:left="-284"/>
        <w:rPr>
          <w:rFonts w:ascii="Arial" w:hAnsi="Arial" w:cs="Arial"/>
          <w:b/>
        </w:rPr>
      </w:pPr>
    </w:p>
    <w:p w:rsidR="00256C68" w:rsidRDefault="00256C68" w:rsidP="00054F12">
      <w:pPr>
        <w:spacing w:after="0" w:line="240" w:lineRule="auto"/>
        <w:ind w:left="-284"/>
        <w:rPr>
          <w:rFonts w:ascii="Arial" w:hAnsi="Arial" w:cs="Arial"/>
          <w:b/>
        </w:rPr>
      </w:pPr>
    </w:p>
    <w:p w:rsidR="00256C68" w:rsidRDefault="00256C68" w:rsidP="00054F12">
      <w:pPr>
        <w:spacing w:after="0" w:line="240" w:lineRule="auto"/>
        <w:ind w:left="-284"/>
        <w:rPr>
          <w:rFonts w:ascii="Arial" w:hAnsi="Arial" w:cs="Arial"/>
          <w:b/>
        </w:rPr>
      </w:pPr>
    </w:p>
    <w:p w:rsidR="00256C68" w:rsidRDefault="00256C68" w:rsidP="00054F12">
      <w:pPr>
        <w:spacing w:after="0" w:line="240" w:lineRule="auto"/>
        <w:ind w:left="-284"/>
        <w:rPr>
          <w:rFonts w:ascii="Arial" w:hAnsi="Arial" w:cs="Arial"/>
          <w:b/>
        </w:rPr>
      </w:pPr>
    </w:p>
    <w:p w:rsidR="00256C68" w:rsidRDefault="00256C68" w:rsidP="00054F12">
      <w:pPr>
        <w:spacing w:after="0" w:line="240" w:lineRule="auto"/>
        <w:ind w:left="-284"/>
        <w:rPr>
          <w:rFonts w:ascii="Arial" w:hAnsi="Arial" w:cs="Arial"/>
          <w:b/>
        </w:rPr>
      </w:pPr>
    </w:p>
    <w:p w:rsidR="00256C68" w:rsidRDefault="00256C68" w:rsidP="00054F12">
      <w:pPr>
        <w:spacing w:after="0" w:line="240" w:lineRule="auto"/>
        <w:ind w:left="-284"/>
        <w:rPr>
          <w:rFonts w:ascii="Arial" w:hAnsi="Arial" w:cs="Arial"/>
          <w:b/>
        </w:rPr>
      </w:pPr>
    </w:p>
    <w:p w:rsidR="00054F12" w:rsidRDefault="00054F12" w:rsidP="00054F12">
      <w:pPr>
        <w:spacing w:after="0" w:line="240" w:lineRule="auto"/>
        <w:ind w:left="-284"/>
        <w:rPr>
          <w:rFonts w:ascii="Arial" w:hAnsi="Arial" w:cs="Arial"/>
          <w:b/>
        </w:rPr>
      </w:pPr>
      <w:r w:rsidRPr="000F011A">
        <w:rPr>
          <w:rFonts w:ascii="Arial" w:hAnsi="Arial" w:cs="Arial"/>
          <w:b/>
        </w:rPr>
        <w:lastRenderedPageBreak/>
        <w:t>NZIA Delegated Authority and Responsibility Schedule</w:t>
      </w:r>
    </w:p>
    <w:p w:rsidR="00054F12" w:rsidRPr="000F011A" w:rsidRDefault="00054F12" w:rsidP="00054F12">
      <w:pPr>
        <w:spacing w:after="0" w:line="240" w:lineRule="auto"/>
        <w:ind w:left="-284"/>
        <w:rPr>
          <w:rFonts w:ascii="Arial" w:hAnsi="Arial" w:cs="Arial"/>
          <w:b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111"/>
        <w:gridCol w:w="1134"/>
        <w:gridCol w:w="1134"/>
        <w:gridCol w:w="1559"/>
        <w:gridCol w:w="1559"/>
        <w:gridCol w:w="1418"/>
        <w:gridCol w:w="1701"/>
        <w:gridCol w:w="2409"/>
      </w:tblGrid>
      <w:tr w:rsidR="00054F12" w:rsidRPr="00F72124" w:rsidTr="005A4820">
        <w:tc>
          <w:tcPr>
            <w:tcW w:w="4679" w:type="dxa"/>
            <w:gridSpan w:val="2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124">
              <w:rPr>
                <w:rFonts w:ascii="Arial" w:hAnsi="Arial" w:cs="Arial"/>
                <w:b/>
                <w:sz w:val="18"/>
                <w:szCs w:val="18"/>
              </w:rPr>
              <w:t>Function or activity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124">
              <w:rPr>
                <w:rFonts w:ascii="Arial" w:hAnsi="Arial" w:cs="Arial"/>
                <w:b/>
                <w:sz w:val="20"/>
                <w:szCs w:val="20"/>
              </w:rPr>
              <w:t>Council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124">
              <w:rPr>
                <w:rFonts w:ascii="Arial" w:hAnsi="Arial" w:cs="Arial"/>
                <w:b/>
                <w:sz w:val="20"/>
                <w:szCs w:val="20"/>
              </w:rPr>
              <w:t>President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124">
              <w:rPr>
                <w:rFonts w:ascii="Arial" w:hAnsi="Arial" w:cs="Arial"/>
                <w:b/>
                <w:sz w:val="20"/>
                <w:szCs w:val="20"/>
              </w:rPr>
              <w:t>Chief Executive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124">
              <w:rPr>
                <w:rFonts w:ascii="Arial" w:hAnsi="Arial" w:cs="Arial"/>
                <w:b/>
                <w:sz w:val="20"/>
                <w:szCs w:val="20"/>
              </w:rPr>
              <w:t>Events Manager</w:t>
            </w: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2124">
              <w:rPr>
                <w:rFonts w:ascii="Arial" w:hAnsi="Arial" w:cs="Arial"/>
                <w:b/>
                <w:sz w:val="20"/>
                <w:szCs w:val="20"/>
              </w:rPr>
              <w:t>Accountant</w:t>
            </w: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2124">
              <w:rPr>
                <w:rFonts w:ascii="Arial" w:hAnsi="Arial" w:cs="Arial"/>
                <w:b/>
                <w:sz w:val="20"/>
                <w:szCs w:val="20"/>
              </w:rPr>
              <w:t>Remuneration Committee</w:t>
            </w: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72124">
              <w:rPr>
                <w:rFonts w:ascii="Arial" w:hAnsi="Arial" w:cs="Arial"/>
                <w:b/>
                <w:sz w:val="20"/>
                <w:szCs w:val="20"/>
              </w:rPr>
              <w:t>Comments</w:t>
            </w: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Strategic Plan and budget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Annual Report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Authorising an expense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Authorising payment (signing invoices etc)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72124">
              <w:rPr>
                <w:rFonts w:ascii="Arial" w:hAnsi="Arial" w:cs="Arial"/>
                <w:sz w:val="20"/>
                <w:szCs w:val="20"/>
              </w:rPr>
              <w:br/>
              <w:t>(within budget &gt;$20,000, outside budget &lt;$5,000)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  <w:r w:rsidRPr="00F72124">
              <w:rPr>
                <w:rFonts w:ascii="Arial" w:hAnsi="Arial" w:cs="Arial"/>
                <w:sz w:val="20"/>
                <w:szCs w:val="20"/>
              </w:rPr>
              <w:br/>
              <w:t>(within budget &lt;$5,000)</w:t>
            </w: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NIL</w:t>
            </w: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Invoices to be signed by CEO.</w:t>
            </w:r>
            <w:r w:rsidRPr="00F72124">
              <w:rPr>
                <w:rFonts w:ascii="Arial" w:hAnsi="Arial" w:cs="Arial"/>
                <w:sz w:val="20"/>
                <w:szCs w:val="20"/>
              </w:rPr>
              <w:br/>
              <w:t>CEO’s claims by President</w:t>
            </w: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Credit card limits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$4,000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Signatories on bank accounts (making payments by cheque, direct credit etc)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2 signatories required</w:t>
            </w: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Income (banking)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Leases / rental arrangements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Asset purchase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&lt;$5,000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Asset disposal – up to $ (book value)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&lt;$5,000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Banking new accounts / new arrangements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Insurance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Policy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Press Release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Travel – overseas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Travel - local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CEO personal reimbursement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Staff personal reimbursement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CEO appointment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CEO responsibilities, performance appraisals, salary reviews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 xml:space="preserve">                X</w:t>
            </w: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Staff / contractors appointment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F12" w:rsidRPr="00F72124" w:rsidTr="005A4820">
        <w:tc>
          <w:tcPr>
            <w:tcW w:w="568" w:type="dxa"/>
            <w:tcBorders>
              <w:righ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4111" w:type="dxa"/>
            <w:tcBorders>
              <w:left w:val="nil"/>
            </w:tcBorders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2124">
              <w:rPr>
                <w:rFonts w:ascii="Arial" w:hAnsi="Arial" w:cs="Arial"/>
                <w:sz w:val="18"/>
                <w:szCs w:val="18"/>
              </w:rPr>
              <w:t>Staff / contractors appointment, responsibilities, performance appraisals, salary reviews</w:t>
            </w: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4F12" w:rsidRPr="00F72124" w:rsidRDefault="00054F12" w:rsidP="005A4820">
            <w:pPr>
              <w:spacing w:before="6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054F12" w:rsidRPr="00F72124" w:rsidRDefault="00054F12" w:rsidP="005A482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054F12" w:rsidRPr="00F72124" w:rsidRDefault="00054F12" w:rsidP="005A4820">
            <w:pPr>
              <w:spacing w:before="6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F12" w:rsidRDefault="00054F12" w:rsidP="00054F12">
      <w:pPr>
        <w:rPr>
          <w:rFonts w:ascii="Arial" w:hAnsi="Arial" w:cs="Arial"/>
        </w:rPr>
        <w:sectPr w:rsidR="00054F12" w:rsidSect="00256C68">
          <w:pgSz w:w="16839" w:h="11907" w:orient="landscape" w:code="9"/>
          <w:pgMar w:top="1361" w:right="1440" w:bottom="1361" w:left="964" w:header="709" w:footer="709" w:gutter="0"/>
          <w:cols w:space="708"/>
          <w:docGrid w:linePitch="360"/>
        </w:sectPr>
      </w:pPr>
    </w:p>
    <w:p w:rsidR="00054F12" w:rsidRPr="0044634A" w:rsidRDefault="00054F12" w:rsidP="00054F12">
      <w:pPr>
        <w:spacing w:after="120"/>
        <w:rPr>
          <w:rFonts w:ascii="Arial" w:hAnsi="Arial" w:cs="Arial"/>
          <w:b/>
          <w:sz w:val="28"/>
          <w:szCs w:val="28"/>
        </w:rPr>
      </w:pPr>
      <w:r w:rsidRPr="0044634A">
        <w:rPr>
          <w:rFonts w:ascii="Arial" w:hAnsi="Arial" w:cs="Arial"/>
          <w:b/>
          <w:sz w:val="28"/>
          <w:szCs w:val="28"/>
        </w:rPr>
        <w:lastRenderedPageBreak/>
        <w:t>Delegations, effective 14 May 2010</w:t>
      </w:r>
    </w:p>
    <w:p w:rsidR="00054F12" w:rsidRDefault="00054F12" w:rsidP="00054F12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Operating bank accounts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1736"/>
        <w:gridCol w:w="1217"/>
        <w:gridCol w:w="1198"/>
        <w:gridCol w:w="1203"/>
        <w:gridCol w:w="1193"/>
        <w:gridCol w:w="1219"/>
      </w:tblGrid>
      <w:tr w:rsidR="00054F12" w:rsidRPr="00F72124" w:rsidTr="005A4820">
        <w:tc>
          <w:tcPr>
            <w:tcW w:w="1587" w:type="dxa"/>
            <w:vMerge w:val="restart"/>
          </w:tcPr>
          <w:p w:rsidR="00054F12" w:rsidRPr="00F72124" w:rsidRDefault="00054F12" w:rsidP="005A4820">
            <w:pPr>
              <w:spacing w:before="24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Authorised signatory designation</w:t>
            </w:r>
          </w:p>
        </w:tc>
        <w:tc>
          <w:tcPr>
            <w:tcW w:w="2065" w:type="dxa"/>
            <w:vMerge w:val="restart"/>
          </w:tcPr>
          <w:p w:rsidR="00054F12" w:rsidRPr="00F72124" w:rsidRDefault="00054F12" w:rsidP="005A4820">
            <w:pPr>
              <w:spacing w:before="3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Methods of signing</w:t>
            </w:r>
          </w:p>
        </w:tc>
        <w:tc>
          <w:tcPr>
            <w:tcW w:w="6082" w:type="dxa"/>
            <w:gridSpan w:val="5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Type of Access</w:t>
            </w:r>
          </w:p>
        </w:tc>
      </w:tr>
      <w:tr w:rsidR="00054F12" w:rsidRPr="00F72124" w:rsidTr="005A4820">
        <w:tc>
          <w:tcPr>
            <w:tcW w:w="1587" w:type="dxa"/>
            <w:vMerge/>
          </w:tcPr>
          <w:p w:rsidR="00054F12" w:rsidRPr="00F72124" w:rsidRDefault="00054F12" w:rsidP="005A48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vMerge/>
          </w:tcPr>
          <w:p w:rsidR="00054F12" w:rsidRPr="00F72124" w:rsidRDefault="00054F12" w:rsidP="005A48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Information</w:t>
            </w:r>
            <w:r w:rsidRPr="00F72124">
              <w:rPr>
                <w:rFonts w:ascii="Arial" w:hAnsi="Arial" w:cs="Arial"/>
                <w:sz w:val="20"/>
                <w:szCs w:val="20"/>
              </w:rPr>
              <w:br/>
              <w:t>(a)</w:t>
            </w:r>
          </w:p>
        </w:tc>
        <w:tc>
          <w:tcPr>
            <w:tcW w:w="1310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Transfer funds</w:t>
            </w:r>
            <w:r w:rsidRPr="00F72124">
              <w:rPr>
                <w:rFonts w:ascii="Arial" w:hAnsi="Arial" w:cs="Arial"/>
                <w:sz w:val="20"/>
                <w:szCs w:val="20"/>
              </w:rPr>
              <w:br/>
              <w:t>(b)</w:t>
            </w:r>
          </w:p>
        </w:tc>
        <w:tc>
          <w:tcPr>
            <w:tcW w:w="1312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 xml:space="preserve">Debit / Property </w:t>
            </w:r>
            <w:r w:rsidRPr="00F72124">
              <w:rPr>
                <w:rFonts w:ascii="Arial" w:hAnsi="Arial" w:cs="Arial"/>
                <w:sz w:val="20"/>
                <w:szCs w:val="20"/>
              </w:rPr>
              <w:br/>
              <w:t>(c)</w:t>
            </w:r>
          </w:p>
        </w:tc>
        <w:tc>
          <w:tcPr>
            <w:tcW w:w="1308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Other services</w:t>
            </w:r>
            <w:r w:rsidRPr="00F72124">
              <w:rPr>
                <w:rFonts w:ascii="Arial" w:hAnsi="Arial" w:cs="Arial"/>
                <w:sz w:val="20"/>
                <w:szCs w:val="20"/>
              </w:rPr>
              <w:br/>
              <w:t>(c)</w:t>
            </w:r>
          </w:p>
        </w:tc>
        <w:tc>
          <w:tcPr>
            <w:tcW w:w="1319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Authority</w:t>
            </w:r>
          </w:p>
        </w:tc>
      </w:tr>
      <w:tr w:rsidR="00054F12" w:rsidRPr="00F72124" w:rsidTr="005A4820">
        <w:tc>
          <w:tcPr>
            <w:tcW w:w="1587" w:type="dxa"/>
          </w:tcPr>
          <w:p w:rsidR="00054F12" w:rsidRPr="00F72124" w:rsidRDefault="00054F12" w:rsidP="005A48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2065" w:type="dxa"/>
          </w:tcPr>
          <w:p w:rsidR="00054F12" w:rsidRPr="00F72124" w:rsidRDefault="00054F12" w:rsidP="005A48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Any two</w:t>
            </w:r>
          </w:p>
        </w:tc>
        <w:tc>
          <w:tcPr>
            <w:tcW w:w="833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Symbol" w:hAnsi="Symbo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  <w:tc>
          <w:tcPr>
            <w:tcW w:w="1310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  <w:tc>
          <w:tcPr>
            <w:tcW w:w="1312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  <w:tc>
          <w:tcPr>
            <w:tcW w:w="1308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  <w:tc>
          <w:tcPr>
            <w:tcW w:w="1319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</w:tr>
      <w:tr w:rsidR="00054F12" w:rsidRPr="00F72124" w:rsidTr="005A4820">
        <w:tc>
          <w:tcPr>
            <w:tcW w:w="1587" w:type="dxa"/>
          </w:tcPr>
          <w:p w:rsidR="00054F12" w:rsidRPr="00F72124" w:rsidRDefault="00054F12" w:rsidP="005A48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CEO</w:t>
            </w:r>
          </w:p>
        </w:tc>
        <w:tc>
          <w:tcPr>
            <w:tcW w:w="2065" w:type="dxa"/>
          </w:tcPr>
          <w:p w:rsidR="00054F12" w:rsidRPr="00F72124" w:rsidRDefault="00054F12" w:rsidP="005A48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Severally</w:t>
            </w:r>
          </w:p>
        </w:tc>
        <w:tc>
          <w:tcPr>
            <w:tcW w:w="833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  <w:tc>
          <w:tcPr>
            <w:tcW w:w="1310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  <w:tc>
          <w:tcPr>
            <w:tcW w:w="1312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  <w:tc>
          <w:tcPr>
            <w:tcW w:w="1308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  <w:tc>
          <w:tcPr>
            <w:tcW w:w="1319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</w:tr>
      <w:tr w:rsidR="00054F12" w:rsidRPr="00F72124" w:rsidTr="005A4820">
        <w:tc>
          <w:tcPr>
            <w:tcW w:w="1587" w:type="dxa"/>
          </w:tcPr>
          <w:p w:rsidR="00054F12" w:rsidRPr="00F72124" w:rsidRDefault="00054F12" w:rsidP="005A48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Accountant</w:t>
            </w:r>
          </w:p>
        </w:tc>
        <w:tc>
          <w:tcPr>
            <w:tcW w:w="2065" w:type="dxa"/>
          </w:tcPr>
          <w:p w:rsidR="00054F12" w:rsidRPr="00F72124" w:rsidRDefault="00054F12" w:rsidP="005A482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Arial" w:hAnsi="Arial" w:cs="Arial"/>
                <w:sz w:val="20"/>
                <w:szCs w:val="20"/>
              </w:rPr>
              <w:t>Severally</w:t>
            </w:r>
          </w:p>
        </w:tc>
        <w:tc>
          <w:tcPr>
            <w:tcW w:w="833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  <w:tc>
          <w:tcPr>
            <w:tcW w:w="1310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  <w:tc>
          <w:tcPr>
            <w:tcW w:w="1312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  <w:tc>
          <w:tcPr>
            <w:tcW w:w="1308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  <w:tc>
          <w:tcPr>
            <w:tcW w:w="1319" w:type="dxa"/>
          </w:tcPr>
          <w:p w:rsidR="00054F12" w:rsidRPr="00F72124" w:rsidRDefault="00054F12" w:rsidP="005A4820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2124">
              <w:rPr>
                <w:rFonts w:ascii="Symbol" w:hAnsi="Symbol" w:cs="Arial"/>
                <w:sz w:val="20"/>
                <w:szCs w:val="20"/>
              </w:rPr>
              <w:sym w:font="Symbol" w:char="F0D6"/>
            </w:r>
          </w:p>
        </w:tc>
      </w:tr>
    </w:tbl>
    <w:p w:rsidR="00054F12" w:rsidRPr="003A7C5E" w:rsidRDefault="00054F12" w:rsidP="00054F12">
      <w:pPr>
        <w:spacing w:before="120" w:after="120"/>
        <w:rPr>
          <w:rFonts w:ascii="Arial" w:hAnsi="Arial" w:cs="Arial"/>
          <w:i/>
        </w:rPr>
      </w:pPr>
      <w:r w:rsidRPr="003A7C5E">
        <w:rPr>
          <w:rFonts w:ascii="Arial" w:hAnsi="Arial" w:cs="Arial"/>
          <w:i/>
        </w:rPr>
        <w:t>Notes:</w:t>
      </w:r>
    </w:p>
    <w:p w:rsidR="00054F12" w:rsidRPr="003A7C5E" w:rsidRDefault="00054F12" w:rsidP="00054F12">
      <w:pPr>
        <w:pStyle w:val="ListParagraph"/>
        <w:numPr>
          <w:ilvl w:val="0"/>
          <w:numId w:val="13"/>
        </w:numPr>
        <w:rPr>
          <w:rFonts w:ascii="Arial" w:hAnsi="Arial" w:cs="Arial"/>
          <w:i/>
        </w:rPr>
      </w:pPr>
      <w:r w:rsidRPr="003A7C5E">
        <w:rPr>
          <w:rFonts w:ascii="Arial" w:hAnsi="Arial" w:cs="Arial"/>
          <w:i/>
        </w:rPr>
        <w:t xml:space="preserve"> Above ‘Type of Access’ are defined by the bank as:</w:t>
      </w:r>
    </w:p>
    <w:p w:rsidR="00054F12" w:rsidRPr="003A7C5E" w:rsidRDefault="00054F12" w:rsidP="00054F12">
      <w:pPr>
        <w:pStyle w:val="ListParagraph"/>
        <w:numPr>
          <w:ilvl w:val="0"/>
          <w:numId w:val="14"/>
        </w:numPr>
        <w:rPr>
          <w:rFonts w:ascii="Arial" w:hAnsi="Arial" w:cs="Arial"/>
          <w:i/>
        </w:rPr>
      </w:pPr>
      <w:r w:rsidRPr="003A7C5E">
        <w:rPr>
          <w:rFonts w:ascii="Arial" w:hAnsi="Arial" w:cs="Arial"/>
          <w:b/>
          <w:i/>
        </w:rPr>
        <w:t>Information</w:t>
      </w:r>
      <w:r w:rsidRPr="003A7C5E">
        <w:rPr>
          <w:rFonts w:ascii="Arial" w:hAnsi="Arial" w:cs="Arial"/>
          <w:i/>
        </w:rPr>
        <w:t>:  disclose information to the relevant Authorised Signatories on any of the customer’s accounts;</w:t>
      </w:r>
    </w:p>
    <w:p w:rsidR="00054F12" w:rsidRPr="003A7C5E" w:rsidRDefault="00054F12" w:rsidP="00054F12">
      <w:pPr>
        <w:pStyle w:val="ListParagraph"/>
        <w:numPr>
          <w:ilvl w:val="0"/>
          <w:numId w:val="14"/>
        </w:numPr>
        <w:rPr>
          <w:rFonts w:ascii="Arial" w:hAnsi="Arial" w:cs="Arial"/>
          <w:i/>
        </w:rPr>
      </w:pPr>
      <w:r w:rsidRPr="003A7C5E">
        <w:rPr>
          <w:rFonts w:ascii="Arial" w:hAnsi="Arial" w:cs="Arial"/>
          <w:b/>
          <w:i/>
        </w:rPr>
        <w:t>Transfer Funds</w:t>
      </w:r>
      <w:r w:rsidRPr="003A7C5E">
        <w:rPr>
          <w:rFonts w:ascii="Arial" w:hAnsi="Arial" w:cs="Arial"/>
          <w:i/>
        </w:rPr>
        <w:t>:  Where the function is available, transfer funds between any of the Customer’s accounts;</w:t>
      </w:r>
    </w:p>
    <w:p w:rsidR="00054F12" w:rsidRPr="003A7C5E" w:rsidRDefault="00054F12" w:rsidP="00054F12">
      <w:pPr>
        <w:pStyle w:val="ListParagraph"/>
        <w:numPr>
          <w:ilvl w:val="0"/>
          <w:numId w:val="14"/>
        </w:numPr>
        <w:rPr>
          <w:rFonts w:ascii="Arial" w:hAnsi="Arial" w:cs="Arial"/>
          <w:i/>
        </w:rPr>
      </w:pPr>
      <w:r w:rsidRPr="003A7C5E">
        <w:rPr>
          <w:rFonts w:ascii="Arial" w:hAnsi="Arial" w:cs="Arial"/>
          <w:b/>
          <w:i/>
        </w:rPr>
        <w:t>Debit/Property</w:t>
      </w:r>
      <w:r w:rsidRPr="003A7C5E">
        <w:rPr>
          <w:rFonts w:ascii="Arial" w:hAnsi="Arial" w:cs="Arial"/>
          <w:i/>
        </w:rPr>
        <w:t>:</w:t>
      </w:r>
    </w:p>
    <w:p w:rsidR="00054F12" w:rsidRPr="003A7C5E" w:rsidRDefault="00054F12" w:rsidP="00054F12">
      <w:pPr>
        <w:pStyle w:val="ListParagraph"/>
        <w:numPr>
          <w:ilvl w:val="0"/>
          <w:numId w:val="15"/>
        </w:numPr>
        <w:ind w:left="1276"/>
        <w:rPr>
          <w:rFonts w:ascii="Arial" w:hAnsi="Arial" w:cs="Arial"/>
          <w:i/>
        </w:rPr>
      </w:pPr>
      <w:r w:rsidRPr="003A7C5E">
        <w:rPr>
          <w:rFonts w:ascii="Arial" w:hAnsi="Arial" w:cs="Arial"/>
          <w:i/>
        </w:rPr>
        <w:t>Debit to any of the customer’s accounts (whether or not in credit) all cheque accounts or other payment orders (excluding fund transfers under (b) above);</w:t>
      </w:r>
    </w:p>
    <w:p w:rsidR="00054F12" w:rsidRPr="003A7C5E" w:rsidRDefault="00054F12" w:rsidP="00054F12">
      <w:pPr>
        <w:pStyle w:val="ListParagraph"/>
        <w:numPr>
          <w:ilvl w:val="0"/>
          <w:numId w:val="15"/>
        </w:numPr>
        <w:ind w:left="1276"/>
        <w:rPr>
          <w:rFonts w:ascii="Arial" w:hAnsi="Arial" w:cs="Arial"/>
          <w:i/>
        </w:rPr>
      </w:pPr>
      <w:r w:rsidRPr="003A7C5E">
        <w:rPr>
          <w:rFonts w:ascii="Arial" w:hAnsi="Arial" w:cs="Arial"/>
          <w:i/>
        </w:rPr>
        <w:t>Act upon any request to deal with any property which the Bank may at any time hold on behalf of the Customer;</w:t>
      </w:r>
    </w:p>
    <w:p w:rsidR="00054F12" w:rsidRPr="003A7C5E" w:rsidRDefault="00054F12" w:rsidP="00054F12">
      <w:pPr>
        <w:pStyle w:val="ListParagraph"/>
        <w:numPr>
          <w:ilvl w:val="0"/>
          <w:numId w:val="14"/>
        </w:numPr>
        <w:rPr>
          <w:rFonts w:ascii="Arial" w:hAnsi="Arial" w:cs="Arial"/>
          <w:i/>
        </w:rPr>
      </w:pPr>
      <w:r w:rsidRPr="003A7C5E">
        <w:rPr>
          <w:rFonts w:ascii="Arial" w:hAnsi="Arial" w:cs="Arial"/>
          <w:b/>
          <w:i/>
        </w:rPr>
        <w:t>Other Services</w:t>
      </w:r>
      <w:r w:rsidRPr="003A7C5E">
        <w:rPr>
          <w:rFonts w:ascii="Arial" w:hAnsi="Arial" w:cs="Arial"/>
          <w:i/>
        </w:rPr>
        <w:t>:  Accept or act on any documents for loans, finance facilities or any other banking services not referred to in (b), or (c).</w:t>
      </w:r>
    </w:p>
    <w:p w:rsidR="00054F12" w:rsidRPr="003A7C5E" w:rsidRDefault="00054F12" w:rsidP="00054F12">
      <w:pPr>
        <w:pStyle w:val="ListParagraph"/>
        <w:numPr>
          <w:ilvl w:val="0"/>
          <w:numId w:val="13"/>
        </w:numPr>
        <w:rPr>
          <w:rFonts w:ascii="Arial" w:hAnsi="Arial" w:cs="Arial"/>
          <w:i/>
        </w:rPr>
      </w:pPr>
      <w:r w:rsidRPr="003A7C5E">
        <w:rPr>
          <w:rFonts w:ascii="Arial" w:hAnsi="Arial" w:cs="Arial"/>
          <w:i/>
        </w:rPr>
        <w:t>The last option is intended for the situation where the CEO is unavailable, e.g. overseas</w:t>
      </w:r>
    </w:p>
    <w:p w:rsidR="00054F12" w:rsidRPr="003A7C5E" w:rsidRDefault="00054F12" w:rsidP="00054F12">
      <w:pPr>
        <w:pStyle w:val="ListParagraph"/>
        <w:numPr>
          <w:ilvl w:val="0"/>
          <w:numId w:val="13"/>
        </w:numPr>
        <w:rPr>
          <w:rFonts w:ascii="Arial" w:hAnsi="Arial" w:cs="Arial"/>
          <w:i/>
        </w:rPr>
      </w:pPr>
      <w:r w:rsidRPr="003A7C5E">
        <w:rPr>
          <w:rFonts w:ascii="Arial" w:hAnsi="Arial" w:cs="Arial"/>
          <w:i/>
        </w:rPr>
        <w:t>The company continues to operate a requirement of dual signatories for cheques and similar transactions</w:t>
      </w:r>
    </w:p>
    <w:p w:rsidR="00054F12" w:rsidRPr="004D2000" w:rsidRDefault="00054F12" w:rsidP="00054F12">
      <w:pPr>
        <w:spacing w:after="120"/>
        <w:rPr>
          <w:rFonts w:ascii="Arial" w:hAnsi="Arial" w:cs="Arial"/>
          <w:b/>
        </w:rPr>
      </w:pPr>
      <w:r w:rsidRPr="004D2000">
        <w:rPr>
          <w:rFonts w:ascii="Arial" w:hAnsi="Arial" w:cs="Arial"/>
          <w:b/>
        </w:rPr>
        <w:t>Payment approval authorities</w:t>
      </w:r>
    </w:p>
    <w:p w:rsidR="00054F12" w:rsidRDefault="00054F12" w:rsidP="00054F1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CEO has authority to approve payments in line with budget that has been agreed and approved by Council</w:t>
      </w:r>
    </w:p>
    <w:p w:rsidR="00054F12" w:rsidRDefault="00054F12" w:rsidP="00054F1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 addition to the above, the CEO has authority to approve line expenditure items that may not have been explicitly spelt out in the budget, up to a value of $20,000.  For any items in excess of $15,000 the CEO is to notify the Chair</w:t>
      </w:r>
    </w:p>
    <w:p w:rsidR="00054F12" w:rsidRDefault="00054F12" w:rsidP="00054F12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The CEO has authority to approve payments of all statutory items, such as GST, PAYE, Company tax, and contractual obligations.</w:t>
      </w:r>
    </w:p>
    <w:p w:rsidR="00054F12" w:rsidRDefault="00054F12" w:rsidP="00054F12">
      <w:pPr>
        <w:spacing w:after="0"/>
        <w:rPr>
          <w:rFonts w:ascii="Arial" w:hAnsi="Arial" w:cs="Arial"/>
        </w:rPr>
      </w:pPr>
      <w:r w:rsidRPr="004D2000">
        <w:rPr>
          <w:rFonts w:ascii="Arial" w:hAnsi="Arial" w:cs="Arial"/>
          <w:b/>
        </w:rPr>
        <w:t>Annual salary and employment review of staff</w:t>
      </w:r>
      <w:r>
        <w:rPr>
          <w:rFonts w:ascii="Arial" w:hAnsi="Arial" w:cs="Arial"/>
        </w:rPr>
        <w:t>:</w:t>
      </w:r>
    </w:p>
    <w:p w:rsidR="00054F12" w:rsidRPr="004D2000" w:rsidRDefault="00054F12" w:rsidP="00054F12">
      <w:pPr>
        <w:pStyle w:val="ListParagraph"/>
        <w:numPr>
          <w:ilvl w:val="0"/>
          <w:numId w:val="18"/>
        </w:numPr>
        <w:rPr>
          <w:rFonts w:ascii="Arial" w:hAnsi="Arial" w:cs="Arial"/>
        </w:rPr>
      </w:pPr>
      <w:r w:rsidRPr="004D2000">
        <w:rPr>
          <w:rFonts w:ascii="Arial" w:hAnsi="Arial" w:cs="Arial"/>
        </w:rPr>
        <w:t>CEO</w:t>
      </w:r>
    </w:p>
    <w:p w:rsidR="00054F12" w:rsidRDefault="00054F12" w:rsidP="00054F12">
      <w:pPr>
        <w:spacing w:after="0"/>
        <w:rPr>
          <w:rFonts w:ascii="Arial" w:hAnsi="Arial" w:cs="Arial"/>
        </w:rPr>
      </w:pPr>
      <w:proofErr w:type="gramStart"/>
      <w:r w:rsidRPr="004D2000">
        <w:rPr>
          <w:rFonts w:ascii="Arial" w:hAnsi="Arial" w:cs="Arial"/>
          <w:b/>
        </w:rPr>
        <w:t>Approval of staff expense claims and leave</w:t>
      </w:r>
      <w:proofErr w:type="gramEnd"/>
      <w:r w:rsidRPr="004D2000">
        <w:rPr>
          <w:rFonts w:ascii="Arial" w:hAnsi="Arial" w:cs="Arial"/>
          <w:b/>
        </w:rPr>
        <w:t xml:space="preserve"> requests</w:t>
      </w:r>
      <w:r>
        <w:rPr>
          <w:rFonts w:ascii="Arial" w:hAnsi="Arial" w:cs="Arial"/>
        </w:rPr>
        <w:t>:</w:t>
      </w:r>
    </w:p>
    <w:p w:rsidR="00054F12" w:rsidRDefault="00054F12" w:rsidP="00054F1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D2000">
        <w:rPr>
          <w:rFonts w:ascii="Arial" w:hAnsi="Arial" w:cs="Arial"/>
        </w:rPr>
        <w:t>CEO</w:t>
      </w:r>
    </w:p>
    <w:p w:rsidR="00054F12" w:rsidRDefault="00054F12" w:rsidP="00054F12">
      <w:pPr>
        <w:spacing w:after="0"/>
        <w:rPr>
          <w:rFonts w:ascii="Arial" w:hAnsi="Arial" w:cs="Arial"/>
        </w:rPr>
      </w:pPr>
      <w:r w:rsidRPr="004D2000">
        <w:rPr>
          <w:rFonts w:ascii="Arial" w:hAnsi="Arial" w:cs="Arial"/>
          <w:b/>
        </w:rPr>
        <w:t>Approval of Council expense claims</w:t>
      </w:r>
      <w:r>
        <w:rPr>
          <w:rFonts w:ascii="Arial" w:hAnsi="Arial" w:cs="Arial"/>
        </w:rPr>
        <w:t>:</w:t>
      </w:r>
    </w:p>
    <w:p w:rsidR="00054F12" w:rsidRPr="004D2000" w:rsidRDefault="00054F12" w:rsidP="00054F1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D2000">
        <w:rPr>
          <w:rFonts w:ascii="Arial" w:hAnsi="Arial" w:cs="Arial"/>
        </w:rPr>
        <w:t>CEO</w:t>
      </w:r>
    </w:p>
    <w:p w:rsidR="00054F12" w:rsidRPr="004E60E5" w:rsidRDefault="00054F12" w:rsidP="004E60E5">
      <w:pPr>
        <w:spacing w:after="0"/>
        <w:rPr>
          <w:rFonts w:ascii="Arial" w:hAnsi="Arial" w:cs="Arial"/>
        </w:rPr>
      </w:pPr>
    </w:p>
    <w:p w:rsidR="00AC3C16" w:rsidRPr="00EC015E" w:rsidRDefault="00AC3C16" w:rsidP="00AC3C16">
      <w:pPr>
        <w:spacing w:after="0"/>
        <w:ind w:left="1440"/>
        <w:rPr>
          <w:rFonts w:ascii="Arial" w:hAnsi="Arial" w:cs="Arial"/>
        </w:rPr>
      </w:pPr>
    </w:p>
    <w:sectPr w:rsidR="00AC3C16" w:rsidRPr="00EC015E" w:rsidSect="00494D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58D"/>
    <w:multiLevelType w:val="hybridMultilevel"/>
    <w:tmpl w:val="479213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01440"/>
    <w:multiLevelType w:val="hybridMultilevel"/>
    <w:tmpl w:val="364EB8F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B70C4"/>
    <w:multiLevelType w:val="hybridMultilevel"/>
    <w:tmpl w:val="A104A244"/>
    <w:lvl w:ilvl="0" w:tplc="5360EA7A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5650FB"/>
    <w:multiLevelType w:val="hybridMultilevel"/>
    <w:tmpl w:val="69DEEC2A"/>
    <w:lvl w:ilvl="0" w:tplc="156C3B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D400E84"/>
    <w:multiLevelType w:val="hybridMultilevel"/>
    <w:tmpl w:val="DDE654F2"/>
    <w:lvl w:ilvl="0" w:tplc="FD16E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742FB1"/>
    <w:multiLevelType w:val="hybridMultilevel"/>
    <w:tmpl w:val="E678284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5422F8"/>
    <w:multiLevelType w:val="hybridMultilevel"/>
    <w:tmpl w:val="7F369B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490CA9"/>
    <w:multiLevelType w:val="hybridMultilevel"/>
    <w:tmpl w:val="EBC0B168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14CAC"/>
    <w:multiLevelType w:val="hybridMultilevel"/>
    <w:tmpl w:val="37A28A5A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B7239EB"/>
    <w:multiLevelType w:val="hybridMultilevel"/>
    <w:tmpl w:val="4192F014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9656260"/>
    <w:multiLevelType w:val="hybridMultilevel"/>
    <w:tmpl w:val="A74A701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DB48D4"/>
    <w:multiLevelType w:val="hybridMultilevel"/>
    <w:tmpl w:val="C09247D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F256F6"/>
    <w:multiLevelType w:val="hybridMultilevel"/>
    <w:tmpl w:val="BB147326"/>
    <w:lvl w:ilvl="0" w:tplc="42C02EF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14" w:hanging="360"/>
      </w:pPr>
    </w:lvl>
    <w:lvl w:ilvl="2" w:tplc="1409001B" w:tentative="1">
      <w:start w:val="1"/>
      <w:numFmt w:val="lowerRoman"/>
      <w:lvlText w:val="%3."/>
      <w:lvlJc w:val="right"/>
      <w:pPr>
        <w:ind w:left="2934" w:hanging="180"/>
      </w:pPr>
    </w:lvl>
    <w:lvl w:ilvl="3" w:tplc="1409000F" w:tentative="1">
      <w:start w:val="1"/>
      <w:numFmt w:val="decimal"/>
      <w:lvlText w:val="%4."/>
      <w:lvlJc w:val="left"/>
      <w:pPr>
        <w:ind w:left="3654" w:hanging="360"/>
      </w:pPr>
    </w:lvl>
    <w:lvl w:ilvl="4" w:tplc="14090019" w:tentative="1">
      <w:start w:val="1"/>
      <w:numFmt w:val="lowerLetter"/>
      <w:lvlText w:val="%5."/>
      <w:lvlJc w:val="left"/>
      <w:pPr>
        <w:ind w:left="4374" w:hanging="360"/>
      </w:pPr>
    </w:lvl>
    <w:lvl w:ilvl="5" w:tplc="1409001B" w:tentative="1">
      <w:start w:val="1"/>
      <w:numFmt w:val="lowerRoman"/>
      <w:lvlText w:val="%6."/>
      <w:lvlJc w:val="right"/>
      <w:pPr>
        <w:ind w:left="5094" w:hanging="180"/>
      </w:pPr>
    </w:lvl>
    <w:lvl w:ilvl="6" w:tplc="1409000F" w:tentative="1">
      <w:start w:val="1"/>
      <w:numFmt w:val="decimal"/>
      <w:lvlText w:val="%7."/>
      <w:lvlJc w:val="left"/>
      <w:pPr>
        <w:ind w:left="5814" w:hanging="360"/>
      </w:pPr>
    </w:lvl>
    <w:lvl w:ilvl="7" w:tplc="14090019" w:tentative="1">
      <w:start w:val="1"/>
      <w:numFmt w:val="lowerLetter"/>
      <w:lvlText w:val="%8."/>
      <w:lvlJc w:val="left"/>
      <w:pPr>
        <w:ind w:left="6534" w:hanging="360"/>
      </w:pPr>
    </w:lvl>
    <w:lvl w:ilvl="8" w:tplc="1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5C0A355B"/>
    <w:multiLevelType w:val="hybridMultilevel"/>
    <w:tmpl w:val="F96E94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2BA4C2C"/>
    <w:multiLevelType w:val="hybridMultilevel"/>
    <w:tmpl w:val="998877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7E054D9"/>
    <w:multiLevelType w:val="hybridMultilevel"/>
    <w:tmpl w:val="EF6CCB0A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0F3DFB"/>
    <w:multiLevelType w:val="hybridMultilevel"/>
    <w:tmpl w:val="2B8CF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860F63"/>
    <w:multiLevelType w:val="hybridMultilevel"/>
    <w:tmpl w:val="A4583460"/>
    <w:lvl w:ilvl="0" w:tplc="2F52C686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14090019" w:tentative="1">
      <w:start w:val="1"/>
      <w:numFmt w:val="lowerLetter"/>
      <w:lvlText w:val="%2."/>
      <w:lvlJc w:val="left"/>
      <w:pPr>
        <w:ind w:left="1740" w:hanging="360"/>
      </w:pPr>
    </w:lvl>
    <w:lvl w:ilvl="2" w:tplc="1409001B" w:tentative="1">
      <w:start w:val="1"/>
      <w:numFmt w:val="lowerRoman"/>
      <w:lvlText w:val="%3."/>
      <w:lvlJc w:val="right"/>
      <w:pPr>
        <w:ind w:left="2460" w:hanging="180"/>
      </w:pPr>
    </w:lvl>
    <w:lvl w:ilvl="3" w:tplc="1409000F" w:tentative="1">
      <w:start w:val="1"/>
      <w:numFmt w:val="decimal"/>
      <w:lvlText w:val="%4."/>
      <w:lvlJc w:val="left"/>
      <w:pPr>
        <w:ind w:left="3180" w:hanging="360"/>
      </w:pPr>
    </w:lvl>
    <w:lvl w:ilvl="4" w:tplc="14090019" w:tentative="1">
      <w:start w:val="1"/>
      <w:numFmt w:val="lowerLetter"/>
      <w:lvlText w:val="%5."/>
      <w:lvlJc w:val="left"/>
      <w:pPr>
        <w:ind w:left="3900" w:hanging="360"/>
      </w:pPr>
    </w:lvl>
    <w:lvl w:ilvl="5" w:tplc="1409001B" w:tentative="1">
      <w:start w:val="1"/>
      <w:numFmt w:val="lowerRoman"/>
      <w:lvlText w:val="%6."/>
      <w:lvlJc w:val="right"/>
      <w:pPr>
        <w:ind w:left="4620" w:hanging="180"/>
      </w:pPr>
    </w:lvl>
    <w:lvl w:ilvl="6" w:tplc="1409000F" w:tentative="1">
      <w:start w:val="1"/>
      <w:numFmt w:val="decimal"/>
      <w:lvlText w:val="%7."/>
      <w:lvlJc w:val="left"/>
      <w:pPr>
        <w:ind w:left="5340" w:hanging="360"/>
      </w:pPr>
    </w:lvl>
    <w:lvl w:ilvl="7" w:tplc="14090019" w:tentative="1">
      <w:start w:val="1"/>
      <w:numFmt w:val="lowerLetter"/>
      <w:lvlText w:val="%8."/>
      <w:lvlJc w:val="left"/>
      <w:pPr>
        <w:ind w:left="6060" w:hanging="360"/>
      </w:pPr>
    </w:lvl>
    <w:lvl w:ilvl="8" w:tplc="1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2"/>
  </w:num>
  <w:num w:numId="11">
    <w:abstractNumId w:val="17"/>
  </w:num>
  <w:num w:numId="12">
    <w:abstractNumId w:val="12"/>
  </w:num>
  <w:num w:numId="13">
    <w:abstractNumId w:val="13"/>
  </w:num>
  <w:num w:numId="14">
    <w:abstractNumId w:val="0"/>
  </w:num>
  <w:num w:numId="15">
    <w:abstractNumId w:val="8"/>
  </w:num>
  <w:num w:numId="16">
    <w:abstractNumId w:val="6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81347"/>
    <w:rsid w:val="000052AC"/>
    <w:rsid w:val="00054F12"/>
    <w:rsid w:val="000616C2"/>
    <w:rsid w:val="00086254"/>
    <w:rsid w:val="00090FD9"/>
    <w:rsid w:val="000A379A"/>
    <w:rsid w:val="000B72D4"/>
    <w:rsid w:val="001E6864"/>
    <w:rsid w:val="002025A8"/>
    <w:rsid w:val="00241458"/>
    <w:rsid w:val="00256C68"/>
    <w:rsid w:val="003355D9"/>
    <w:rsid w:val="00343F93"/>
    <w:rsid w:val="004946BD"/>
    <w:rsid w:val="00494D3A"/>
    <w:rsid w:val="004B5D04"/>
    <w:rsid w:val="004E60E5"/>
    <w:rsid w:val="00524222"/>
    <w:rsid w:val="00532860"/>
    <w:rsid w:val="0053343F"/>
    <w:rsid w:val="00662490"/>
    <w:rsid w:val="007778B9"/>
    <w:rsid w:val="0081352F"/>
    <w:rsid w:val="00887903"/>
    <w:rsid w:val="008D1CBF"/>
    <w:rsid w:val="00901E97"/>
    <w:rsid w:val="0093305B"/>
    <w:rsid w:val="009538B5"/>
    <w:rsid w:val="00974F37"/>
    <w:rsid w:val="009C4114"/>
    <w:rsid w:val="00A67E29"/>
    <w:rsid w:val="00A75E4A"/>
    <w:rsid w:val="00A817E5"/>
    <w:rsid w:val="00A85EAD"/>
    <w:rsid w:val="00AC16FF"/>
    <w:rsid w:val="00AC3C16"/>
    <w:rsid w:val="00B34014"/>
    <w:rsid w:val="00B809CB"/>
    <w:rsid w:val="00BB3369"/>
    <w:rsid w:val="00C40909"/>
    <w:rsid w:val="00C626B5"/>
    <w:rsid w:val="00C81347"/>
    <w:rsid w:val="00D3030A"/>
    <w:rsid w:val="00DA12C7"/>
    <w:rsid w:val="00EC015E"/>
    <w:rsid w:val="00F176A7"/>
    <w:rsid w:val="00F52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3A"/>
  </w:style>
  <w:style w:type="paragraph" w:styleId="Heading1">
    <w:name w:val="heading 1"/>
    <w:basedOn w:val="Normal"/>
    <w:next w:val="Normal"/>
    <w:link w:val="Heading1Char"/>
    <w:qFormat/>
    <w:rsid w:val="00090FD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  <w:lang w:val="en-US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9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FD9"/>
    <w:rPr>
      <w:rFonts w:ascii="Arial" w:eastAsia="Times New Roman" w:hAnsi="Arial" w:cs="Times New Roman"/>
      <w:b/>
      <w:szCs w:val="20"/>
      <w:lang w:val="en-US"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F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Kay</dc:creator>
  <cp:keywords/>
  <dc:description/>
  <cp:lastModifiedBy>Beverley McRae</cp:lastModifiedBy>
  <cp:revision>5</cp:revision>
  <cp:lastPrinted>2010-05-31T21:24:00Z</cp:lastPrinted>
  <dcterms:created xsi:type="dcterms:W3CDTF">2010-05-25T03:33:00Z</dcterms:created>
  <dcterms:modified xsi:type="dcterms:W3CDTF">2010-06-01T05:01:00Z</dcterms:modified>
</cp:coreProperties>
</file>